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F832ED" w14:textId="1EB7AC0E" w:rsidR="0071238D" w:rsidRPr="0071238D" w:rsidRDefault="0071238D" w:rsidP="0071238D">
      <w:pPr>
        <w:pStyle w:val="Heading2"/>
        <w:rPr>
          <w:rFonts w:ascii="Crimson" w:hAnsi="Crimson"/>
          <w:bCs/>
          <w:color w:val="002F6D"/>
          <w:spacing w:val="10"/>
          <w:kern w:val="32"/>
          <w:sz w:val="32"/>
          <w:szCs w:val="32"/>
        </w:rPr>
      </w:pPr>
      <w:r w:rsidRPr="0071238D">
        <w:rPr>
          <w:rFonts w:ascii="Crimson" w:hAnsi="Crimson"/>
          <w:bCs/>
          <w:color w:val="002F6D"/>
          <w:spacing w:val="10"/>
          <w:kern w:val="32"/>
          <w:sz w:val="32"/>
          <w:szCs w:val="32"/>
        </w:rPr>
        <w:t>What Data Tool Should I Use?</w:t>
      </w:r>
    </w:p>
    <w:p w14:paraId="07505AEC" w14:textId="3EA4DDA5" w:rsidR="0071238D" w:rsidRPr="0071238D" w:rsidRDefault="5ACE8BBF" w:rsidP="00E02201">
      <w:pPr>
        <w:spacing w:after="240"/>
        <w:rPr>
          <w:rFonts w:ascii="Source Sans Pro" w:hAnsi="Source Sans Pro"/>
          <w:sz w:val="24"/>
          <w:szCs w:val="24"/>
        </w:rPr>
      </w:pPr>
      <w:r w:rsidRPr="5ACE8BBF">
        <w:rPr>
          <w:rFonts w:ascii="Source Sans Pro" w:hAnsi="Source Sans Pro"/>
          <w:sz w:val="24"/>
          <w:szCs w:val="24"/>
        </w:rPr>
        <w:t xml:space="preserve">Updated </w:t>
      </w:r>
      <w:r w:rsidR="00D65AAF">
        <w:rPr>
          <w:rFonts w:ascii="Source Sans Pro" w:hAnsi="Source Sans Pro"/>
          <w:sz w:val="24"/>
          <w:szCs w:val="24"/>
        </w:rPr>
        <w:t>March</w:t>
      </w:r>
      <w:r w:rsidRPr="5ACE8BBF">
        <w:rPr>
          <w:rFonts w:ascii="Source Sans Pro" w:hAnsi="Source Sans Pro"/>
          <w:sz w:val="24"/>
          <w:szCs w:val="24"/>
        </w:rPr>
        <w:t xml:space="preserve"> 2021</w:t>
      </w:r>
    </w:p>
    <w:p w14:paraId="793BD6C9" w14:textId="1AB58027" w:rsidR="00263D2D" w:rsidRPr="0071238D" w:rsidRDefault="5ACE8BBF" w:rsidP="0071238D">
      <w:pPr>
        <w:pStyle w:val="BodyText"/>
        <w:spacing w:before="31" w:line="259" w:lineRule="auto"/>
        <w:ind w:left="0"/>
        <w:rPr>
          <w:rFonts w:ascii="Source Sans Pro" w:hAnsi="Source Sans Pro"/>
          <w:sz w:val="24"/>
          <w:szCs w:val="24"/>
        </w:rPr>
      </w:pPr>
      <w:r w:rsidRPr="5ACE8BBF">
        <w:rPr>
          <w:rFonts w:ascii="Source Sans Pro" w:hAnsi="Source Sans Pro"/>
          <w:sz w:val="24"/>
          <w:szCs w:val="24"/>
        </w:rPr>
        <w:t xml:space="preserve">The Chancellor’s Office has created a number of data tools that can support colleges in accessing and evaluating data on programs. </w:t>
      </w:r>
    </w:p>
    <w:p w14:paraId="07ABD090" w14:textId="77777777" w:rsidR="00263D2D" w:rsidRPr="0071238D" w:rsidRDefault="00576186" w:rsidP="0071238D">
      <w:pPr>
        <w:pStyle w:val="Heading2"/>
      </w:pPr>
      <w:r w:rsidRPr="0071238D">
        <w:t>Program Development</w:t>
      </w:r>
    </w:p>
    <w:p w14:paraId="656CDB62" w14:textId="40020DE4" w:rsidR="00263D2D" w:rsidRPr="0071238D" w:rsidRDefault="00576186" w:rsidP="005465E8">
      <w:pPr>
        <w:pStyle w:val="BodyText"/>
        <w:spacing w:before="0" w:after="160" w:line="259" w:lineRule="auto"/>
        <w:ind w:left="0"/>
        <w:rPr>
          <w:rFonts w:ascii="Source Sans Pro" w:hAnsi="Source Sans Pro"/>
          <w:sz w:val="24"/>
          <w:szCs w:val="24"/>
        </w:rPr>
      </w:pPr>
      <w:r w:rsidRPr="0071238D">
        <w:rPr>
          <w:rFonts w:ascii="Source Sans Pro" w:hAnsi="Source Sans Pro"/>
          <w:sz w:val="24"/>
          <w:szCs w:val="24"/>
        </w:rPr>
        <w:t xml:space="preserve">Many college researchers use the </w:t>
      </w:r>
      <w:hyperlink r:id="rId6" w:history="1">
        <w:r w:rsidRPr="0071238D">
          <w:rPr>
            <w:rStyle w:val="Hyperlink"/>
            <w:rFonts w:ascii="Source Sans Pro" w:hAnsi="Source Sans Pro"/>
            <w:sz w:val="24"/>
            <w:szCs w:val="24"/>
          </w:rPr>
          <w:t>Chancellor’s Office Data Mart</w:t>
        </w:r>
      </w:hyperlink>
      <w:r w:rsidRPr="0071238D">
        <w:rPr>
          <w:rFonts w:ascii="Source Sans Pro" w:hAnsi="Source Sans Pro"/>
          <w:color w:val="0563C1"/>
          <w:sz w:val="24"/>
          <w:szCs w:val="24"/>
        </w:rPr>
        <w:t xml:space="preserve"> </w:t>
      </w:r>
      <w:r w:rsidRPr="0071238D">
        <w:rPr>
          <w:rFonts w:ascii="Source Sans Pro" w:hAnsi="Source Sans Pro"/>
          <w:sz w:val="24"/>
          <w:szCs w:val="24"/>
        </w:rPr>
        <w:t>to support analyses for new programs</w:t>
      </w:r>
      <w:r w:rsidR="006338C0">
        <w:rPr>
          <w:rFonts w:ascii="Source Sans Pro" w:hAnsi="Source Sans Pro"/>
          <w:sz w:val="24"/>
          <w:szCs w:val="24"/>
        </w:rPr>
        <w:t xml:space="preserve"> and verify the data submitted by their college to the Chancellor’s Office Management Information System (COMIS)</w:t>
      </w:r>
      <w:r w:rsidR="00284790">
        <w:rPr>
          <w:rFonts w:ascii="Source Sans Pro" w:hAnsi="Source Sans Pro"/>
          <w:sz w:val="24"/>
          <w:szCs w:val="24"/>
        </w:rPr>
        <w:t>. For example, Data Mart</w:t>
      </w:r>
      <w:r w:rsidRPr="0071238D">
        <w:rPr>
          <w:rFonts w:ascii="Source Sans Pro" w:hAnsi="Source Sans Pro"/>
          <w:sz w:val="24"/>
          <w:szCs w:val="24"/>
        </w:rPr>
        <w:t xml:space="preserve"> allows users to view course offerings—including credit status and day/evening status—and completions at other colleges.</w:t>
      </w:r>
    </w:p>
    <w:p w14:paraId="7283F739" w14:textId="6740C3E7" w:rsidR="00263D2D" w:rsidRPr="0071238D" w:rsidRDefault="5ACE8BBF" w:rsidP="00E02201">
      <w:pPr>
        <w:pStyle w:val="BodyText"/>
        <w:spacing w:before="0" w:after="160" w:line="259" w:lineRule="auto"/>
        <w:ind w:left="0" w:right="86"/>
        <w:rPr>
          <w:rFonts w:ascii="Source Sans Pro" w:hAnsi="Source Sans Pro"/>
          <w:sz w:val="24"/>
          <w:szCs w:val="24"/>
        </w:rPr>
      </w:pPr>
      <w:r w:rsidRPr="5ACE8BBF">
        <w:rPr>
          <w:rFonts w:ascii="Source Sans Pro" w:hAnsi="Source Sans Pro"/>
          <w:sz w:val="24"/>
          <w:szCs w:val="24"/>
        </w:rPr>
        <w:t xml:space="preserve">The </w:t>
      </w:r>
      <w:hyperlink r:id="rId7">
        <w:r w:rsidRPr="5ACE8BBF">
          <w:rPr>
            <w:rStyle w:val="Hyperlink"/>
            <w:rFonts w:ascii="Source Sans Pro" w:hAnsi="Source Sans Pro"/>
            <w:sz w:val="24"/>
            <w:szCs w:val="24"/>
          </w:rPr>
          <w:t>LaunchBoard Community College Pipeline</w:t>
        </w:r>
      </w:hyperlink>
      <w:r w:rsidRPr="5ACE8BBF">
        <w:rPr>
          <w:rFonts w:ascii="Source Sans Pro" w:hAnsi="Source Sans Pro"/>
          <w:color w:val="0563C1"/>
          <w:sz w:val="24"/>
          <w:szCs w:val="24"/>
        </w:rPr>
        <w:t xml:space="preserve"> </w:t>
      </w:r>
      <w:r w:rsidRPr="5ACE8BBF">
        <w:rPr>
          <w:rFonts w:ascii="Source Sans Pro" w:hAnsi="Source Sans Pro"/>
          <w:sz w:val="24"/>
          <w:szCs w:val="24"/>
        </w:rPr>
        <w:t xml:space="preserve">can provide additional information, by providing easy access to visualizations on which community colleges are already offering programs in related areas, the size of those programs, and the types of awards they are generating; annual employment and earnings data for existing programs; and regional labor market information on total people employed in the region in related occupations, projected job openings, and median earnings. Similar information is available for adult education in the </w:t>
      </w:r>
      <w:hyperlink r:id="rId8">
        <w:r w:rsidRPr="5ACE8BBF">
          <w:rPr>
            <w:rStyle w:val="Hyperlink"/>
            <w:rFonts w:ascii="Source Sans Pro" w:hAnsi="Source Sans Pro"/>
            <w:sz w:val="24"/>
            <w:szCs w:val="24"/>
          </w:rPr>
          <w:t>Adult Education Pipeline</w:t>
        </w:r>
      </w:hyperlink>
      <w:r w:rsidRPr="5ACE8BBF">
        <w:rPr>
          <w:rFonts w:ascii="Source Sans Pro" w:hAnsi="Source Sans Pro"/>
          <w:sz w:val="24"/>
          <w:szCs w:val="24"/>
        </w:rPr>
        <w:t>.</w:t>
      </w:r>
    </w:p>
    <w:p w14:paraId="4BB04C47" w14:textId="6AF57FB1" w:rsidR="00263D2D" w:rsidRPr="0071238D" w:rsidRDefault="00576186" w:rsidP="005465E8">
      <w:pPr>
        <w:pStyle w:val="BodyText"/>
        <w:spacing w:before="0" w:after="160" w:line="259" w:lineRule="auto"/>
        <w:ind w:left="0" w:right="86"/>
        <w:rPr>
          <w:rFonts w:ascii="Source Sans Pro" w:hAnsi="Source Sans Pro"/>
          <w:sz w:val="24"/>
          <w:szCs w:val="24"/>
        </w:rPr>
      </w:pPr>
      <w:r w:rsidRPr="0071238D">
        <w:rPr>
          <w:rFonts w:ascii="Source Sans Pro" w:hAnsi="Source Sans Pro"/>
          <w:sz w:val="24"/>
          <w:szCs w:val="24"/>
        </w:rPr>
        <w:t xml:space="preserve">By accessing the </w:t>
      </w:r>
      <w:hyperlink r:id="rId9" w:history="1">
        <w:r w:rsidRPr="0071238D">
          <w:rPr>
            <w:rStyle w:val="Hyperlink"/>
            <w:rFonts w:ascii="Source Sans Pro" w:hAnsi="Source Sans Pro"/>
            <w:sz w:val="24"/>
            <w:szCs w:val="24"/>
          </w:rPr>
          <w:t>Centers of Excellence Supply Tables</w:t>
        </w:r>
      </w:hyperlink>
      <w:r w:rsidRPr="0071238D">
        <w:rPr>
          <w:rFonts w:ascii="Source Sans Pro" w:hAnsi="Source Sans Pro"/>
          <w:sz w:val="24"/>
          <w:szCs w:val="24"/>
        </w:rPr>
        <w:t>, practitioners can get a deeper understanding of similar programs that other colleges are offering in the region. A spreadsheet with numerous filtering options allows users to see the number of certificates and degrees being produced by all post</w:t>
      </w:r>
      <w:r w:rsidRPr="0071238D">
        <w:rPr>
          <w:rFonts w:ascii="Cambria Math" w:hAnsi="Cambria Math" w:cs="Cambria Math"/>
          <w:sz w:val="24"/>
          <w:szCs w:val="24"/>
        </w:rPr>
        <w:t>‐</w:t>
      </w:r>
      <w:r w:rsidRPr="0071238D">
        <w:rPr>
          <w:rFonts w:ascii="Source Sans Pro" w:hAnsi="Source Sans Pro"/>
          <w:sz w:val="24"/>
          <w:szCs w:val="24"/>
        </w:rPr>
        <w:t>secondary institutions, not just community colleges. In addition, bachelor</w:t>
      </w:r>
      <w:r w:rsidRPr="0071238D">
        <w:rPr>
          <w:rFonts w:ascii="Source Sans Pro" w:hAnsi="Source Sans Pro" w:cs="Source Sans Pro"/>
          <w:sz w:val="24"/>
          <w:szCs w:val="24"/>
        </w:rPr>
        <w:t>’</w:t>
      </w:r>
      <w:r w:rsidRPr="0071238D">
        <w:rPr>
          <w:rFonts w:ascii="Source Sans Pro" w:hAnsi="Source Sans Pro"/>
          <w:sz w:val="24"/>
          <w:szCs w:val="24"/>
        </w:rPr>
        <w:t>s degrees and corresponding Classification of Instruction Program</w:t>
      </w:r>
      <w:r w:rsidR="00284790">
        <w:rPr>
          <w:rFonts w:ascii="Source Sans Pro" w:hAnsi="Source Sans Pro"/>
          <w:sz w:val="24"/>
          <w:szCs w:val="24"/>
        </w:rPr>
        <w:t xml:space="preserve"> (CIP</w:t>
      </w:r>
      <w:r w:rsidRPr="0071238D">
        <w:rPr>
          <w:rFonts w:ascii="Source Sans Pro" w:hAnsi="Source Sans Pro"/>
          <w:sz w:val="24"/>
          <w:szCs w:val="24"/>
        </w:rPr>
        <w:t>)</w:t>
      </w:r>
      <w:r w:rsidR="00284790">
        <w:rPr>
          <w:rFonts w:ascii="Source Sans Pro" w:hAnsi="Source Sans Pro"/>
          <w:sz w:val="24"/>
          <w:szCs w:val="24"/>
        </w:rPr>
        <w:t xml:space="preserve"> codes</w:t>
      </w:r>
      <w:r w:rsidRPr="0071238D">
        <w:rPr>
          <w:rFonts w:ascii="Source Sans Pro" w:hAnsi="Source Sans Pro"/>
          <w:sz w:val="24"/>
          <w:szCs w:val="24"/>
        </w:rPr>
        <w:t xml:space="preserve"> are included in a separate table with similar filters.</w:t>
      </w:r>
    </w:p>
    <w:p w14:paraId="456B2253" w14:textId="2B08C625" w:rsidR="00263D2D" w:rsidRPr="0071238D" w:rsidRDefault="00576186" w:rsidP="00E02201">
      <w:pPr>
        <w:pStyle w:val="BodyText"/>
        <w:spacing w:before="0" w:after="160" w:line="259" w:lineRule="auto"/>
        <w:ind w:left="0" w:right="331"/>
        <w:rPr>
          <w:rFonts w:ascii="Source Sans Pro" w:hAnsi="Source Sans Pro"/>
          <w:sz w:val="24"/>
          <w:szCs w:val="24"/>
        </w:rPr>
      </w:pPr>
      <w:r w:rsidRPr="0071238D">
        <w:rPr>
          <w:rFonts w:ascii="Source Sans Pro" w:hAnsi="Source Sans Pro"/>
          <w:sz w:val="24"/>
          <w:szCs w:val="24"/>
        </w:rPr>
        <w:t xml:space="preserve">Practitioners can also get more nuanced labor market </w:t>
      </w:r>
      <w:hyperlink r:id="rId10" w:history="1">
        <w:r w:rsidRPr="0071238D">
          <w:rPr>
            <w:rStyle w:val="Hyperlink"/>
            <w:rFonts w:ascii="Source Sans Pro" w:hAnsi="Source Sans Pro"/>
            <w:sz w:val="24"/>
            <w:szCs w:val="24"/>
          </w:rPr>
          <w:t>Demand</w:t>
        </w:r>
      </w:hyperlink>
      <w:r w:rsidRPr="0071238D">
        <w:rPr>
          <w:rFonts w:ascii="Source Sans Pro" w:hAnsi="Source Sans Pro"/>
          <w:color w:val="0563C1"/>
          <w:sz w:val="24"/>
          <w:szCs w:val="24"/>
        </w:rPr>
        <w:t xml:space="preserve"> </w:t>
      </w:r>
      <w:r w:rsidRPr="0071238D">
        <w:rPr>
          <w:rFonts w:ascii="Source Sans Pro" w:hAnsi="Source Sans Pro"/>
          <w:sz w:val="24"/>
          <w:szCs w:val="24"/>
        </w:rPr>
        <w:t xml:space="preserve">data on the </w:t>
      </w:r>
      <w:hyperlink r:id="rId11" w:history="1">
        <w:r w:rsidRPr="0071238D">
          <w:rPr>
            <w:rStyle w:val="Hyperlink"/>
            <w:rFonts w:ascii="Source Sans Pro" w:hAnsi="Source Sans Pro"/>
            <w:sz w:val="24"/>
            <w:szCs w:val="24"/>
          </w:rPr>
          <w:t>Centers of Excellence website</w:t>
        </w:r>
      </w:hyperlink>
      <w:r w:rsidRPr="0071238D">
        <w:rPr>
          <w:rFonts w:ascii="Source Sans Pro" w:hAnsi="Source Sans Pro"/>
          <w:sz w:val="24"/>
          <w:szCs w:val="24"/>
        </w:rPr>
        <w:t xml:space="preserve">, through a spreadsheet that allows users to filter labor market information by region, county, occupational code, and educational levels that are commonly assigned to occupations. </w:t>
      </w:r>
    </w:p>
    <w:p w14:paraId="2A9E4263" w14:textId="76AF0FBC" w:rsidR="00263D2D" w:rsidRPr="0071238D" w:rsidRDefault="00576186" w:rsidP="00E02201">
      <w:pPr>
        <w:pStyle w:val="BodyText"/>
        <w:spacing w:before="0" w:after="160" w:line="259" w:lineRule="auto"/>
        <w:ind w:left="0" w:right="302"/>
        <w:rPr>
          <w:rFonts w:ascii="Source Sans Pro" w:hAnsi="Source Sans Pro"/>
          <w:sz w:val="24"/>
          <w:szCs w:val="24"/>
        </w:rPr>
      </w:pPr>
      <w:r w:rsidRPr="0071238D">
        <w:rPr>
          <w:rFonts w:ascii="Source Sans Pro" w:hAnsi="Source Sans Pro"/>
          <w:sz w:val="24"/>
          <w:szCs w:val="24"/>
        </w:rPr>
        <w:t xml:space="preserve">In addition, the Centers of Excellence website includes a </w:t>
      </w:r>
      <w:hyperlink r:id="rId12" w:anchor="studybyregion" w:history="1">
        <w:r w:rsidRPr="0071238D">
          <w:rPr>
            <w:rStyle w:val="Hyperlink"/>
            <w:rFonts w:ascii="Source Sans Pro" w:hAnsi="Source Sans Pro"/>
            <w:sz w:val="24"/>
            <w:szCs w:val="24"/>
          </w:rPr>
          <w:t>library of reports</w:t>
        </w:r>
      </w:hyperlink>
      <w:r w:rsidR="0071238D">
        <w:rPr>
          <w:rFonts w:ascii="Source Sans Pro" w:hAnsi="Source Sans Pro"/>
          <w:color w:val="0563C1"/>
          <w:sz w:val="24"/>
          <w:szCs w:val="24"/>
          <w:u w:val="single" w:color="0563C1"/>
        </w:rPr>
        <w:t xml:space="preserve"> </w:t>
      </w:r>
      <w:r w:rsidR="0071238D" w:rsidRPr="0071238D">
        <w:rPr>
          <w:rFonts w:ascii="Source Sans Pro" w:hAnsi="Source Sans Pro"/>
          <w:sz w:val="24"/>
          <w:szCs w:val="24"/>
        </w:rPr>
        <w:t>by region</w:t>
      </w:r>
      <w:r w:rsidRPr="0071238D">
        <w:rPr>
          <w:rFonts w:ascii="Source Sans Pro" w:hAnsi="Source Sans Pro"/>
          <w:sz w:val="24"/>
          <w:szCs w:val="24"/>
        </w:rPr>
        <w:t xml:space="preserve"> on labor market demand, including information on emerging occupations, that is searchable by industry sector and geographic location. You can also download guides that provide information on </w:t>
      </w:r>
      <w:hyperlink r:id="rId13" w:history="1">
        <w:r w:rsidRPr="0071238D">
          <w:rPr>
            <w:rStyle w:val="Hyperlink"/>
            <w:rFonts w:ascii="Source Sans Pro" w:hAnsi="Source Sans Pro"/>
            <w:sz w:val="24"/>
            <w:szCs w:val="24"/>
          </w:rPr>
          <w:t>how to use other sources of labor market information</w:t>
        </w:r>
      </w:hyperlink>
      <w:r w:rsidRPr="0071238D">
        <w:rPr>
          <w:rFonts w:ascii="Source Sans Pro" w:hAnsi="Source Sans Pro"/>
          <w:color w:val="0563C1"/>
          <w:sz w:val="24"/>
          <w:szCs w:val="24"/>
        </w:rPr>
        <w:t xml:space="preserve"> </w:t>
      </w:r>
      <w:r w:rsidRPr="0071238D">
        <w:rPr>
          <w:rFonts w:ascii="Source Sans Pro" w:hAnsi="Source Sans Pro"/>
          <w:sz w:val="24"/>
          <w:szCs w:val="24"/>
        </w:rPr>
        <w:t xml:space="preserve">such as </w:t>
      </w:r>
      <w:hyperlink r:id="rId14" w:history="1">
        <w:r w:rsidRPr="00982FC4">
          <w:rPr>
            <w:rStyle w:val="Hyperlink"/>
            <w:rFonts w:ascii="Source Sans Pro" w:hAnsi="Source Sans Pro"/>
            <w:sz w:val="24"/>
            <w:szCs w:val="24"/>
          </w:rPr>
          <w:t>O*NET</w:t>
        </w:r>
      </w:hyperlink>
      <w:r w:rsidRPr="0071238D">
        <w:rPr>
          <w:rFonts w:ascii="Source Sans Pro" w:hAnsi="Source Sans Pro"/>
          <w:sz w:val="24"/>
          <w:szCs w:val="24"/>
        </w:rPr>
        <w:t>.</w:t>
      </w:r>
    </w:p>
    <w:p w14:paraId="1A3600C3" w14:textId="51B3E235" w:rsidR="00263D2D" w:rsidRPr="0071238D" w:rsidRDefault="00576186" w:rsidP="0071238D">
      <w:pPr>
        <w:pStyle w:val="BodyText"/>
        <w:spacing w:before="55" w:line="259" w:lineRule="auto"/>
        <w:ind w:left="0" w:right="91"/>
        <w:rPr>
          <w:rFonts w:ascii="Source Sans Pro" w:hAnsi="Source Sans Pro"/>
          <w:sz w:val="24"/>
          <w:szCs w:val="24"/>
        </w:rPr>
      </w:pPr>
      <w:r w:rsidRPr="0071238D">
        <w:rPr>
          <w:rFonts w:ascii="Source Sans Pro" w:hAnsi="Source Sans Pro"/>
          <w:sz w:val="24"/>
          <w:szCs w:val="24"/>
        </w:rPr>
        <w:t xml:space="preserve">To find titles of degree, certificate or noncredit awards, as well as the status of each award, go to the new </w:t>
      </w:r>
      <w:hyperlink r:id="rId15" w:history="1">
        <w:r w:rsidRPr="0071238D">
          <w:rPr>
            <w:rStyle w:val="Hyperlink"/>
            <w:rFonts w:ascii="Source Sans Pro" w:hAnsi="Source Sans Pro"/>
            <w:sz w:val="24"/>
            <w:szCs w:val="24"/>
          </w:rPr>
          <w:t>Chancellor’s Office Curriculum Inventory (COCI 2.0).</w:t>
        </w:r>
      </w:hyperlink>
      <w:r w:rsidRPr="0071238D">
        <w:rPr>
          <w:rFonts w:ascii="Source Sans Pro" w:hAnsi="Source Sans Pro"/>
          <w:sz w:val="24"/>
          <w:szCs w:val="24"/>
        </w:rPr>
        <w:t xml:space="preserve"> </w:t>
      </w:r>
      <w:hyperlink r:id="rId16" w:history="1">
        <w:r w:rsidR="00284790">
          <w:rPr>
            <w:rStyle w:val="Hyperlink"/>
            <w:rFonts w:ascii="Source Sans Pro" w:hAnsi="Source Sans Pro"/>
            <w:sz w:val="24"/>
            <w:szCs w:val="24"/>
          </w:rPr>
          <w:t>P</w:t>
        </w:r>
        <w:r w:rsidRPr="0071238D">
          <w:rPr>
            <w:rStyle w:val="Hyperlink"/>
            <w:rFonts w:ascii="Source Sans Pro" w:hAnsi="Source Sans Pro"/>
            <w:sz w:val="24"/>
            <w:szCs w:val="24"/>
          </w:rPr>
          <w:t>rogram</w:t>
        </w:r>
        <w:r w:rsidR="0071238D" w:rsidRPr="0071238D">
          <w:rPr>
            <w:rStyle w:val="Hyperlink"/>
            <w:rFonts w:ascii="Source Sans Pro" w:hAnsi="Source Sans Pro"/>
            <w:sz w:val="24"/>
            <w:szCs w:val="24"/>
          </w:rPr>
          <w:t>s</w:t>
        </w:r>
      </w:hyperlink>
      <w:r w:rsidRPr="0071238D">
        <w:rPr>
          <w:rFonts w:ascii="Source Sans Pro" w:hAnsi="Source Sans Pro"/>
          <w:sz w:val="24"/>
          <w:szCs w:val="24"/>
        </w:rPr>
        <w:t xml:space="preserve"> </w:t>
      </w:r>
      <w:r w:rsidR="00284790">
        <w:rPr>
          <w:rFonts w:ascii="Source Sans Pro" w:hAnsi="Source Sans Pro"/>
          <w:sz w:val="24"/>
          <w:szCs w:val="24"/>
        </w:rPr>
        <w:t>and</w:t>
      </w:r>
      <w:r w:rsidRPr="0071238D">
        <w:rPr>
          <w:rFonts w:ascii="Source Sans Pro" w:hAnsi="Source Sans Pro"/>
          <w:sz w:val="24"/>
          <w:szCs w:val="24"/>
        </w:rPr>
        <w:t xml:space="preserve"> </w:t>
      </w:r>
      <w:hyperlink r:id="rId17" w:history="1">
        <w:r w:rsidRPr="0071238D">
          <w:rPr>
            <w:rStyle w:val="Hyperlink"/>
            <w:rFonts w:ascii="Source Sans Pro" w:hAnsi="Source Sans Pro"/>
            <w:sz w:val="24"/>
            <w:szCs w:val="24"/>
          </w:rPr>
          <w:t>course level</w:t>
        </w:r>
      </w:hyperlink>
      <w:r w:rsidRPr="0071238D">
        <w:rPr>
          <w:rFonts w:ascii="Source Sans Pro" w:hAnsi="Source Sans Pro"/>
          <w:sz w:val="24"/>
          <w:szCs w:val="24"/>
        </w:rPr>
        <w:t xml:space="preserve"> </w:t>
      </w:r>
      <w:r w:rsidRPr="0071238D">
        <w:rPr>
          <w:rFonts w:ascii="Source Sans Pro" w:hAnsi="Source Sans Pro"/>
          <w:sz w:val="24"/>
          <w:szCs w:val="24"/>
        </w:rPr>
        <w:lastRenderedPageBreak/>
        <w:t xml:space="preserve">data </w:t>
      </w:r>
      <w:r w:rsidR="00284790">
        <w:rPr>
          <w:rFonts w:ascii="Source Sans Pro" w:hAnsi="Source Sans Pro"/>
          <w:sz w:val="24"/>
          <w:szCs w:val="24"/>
        </w:rPr>
        <w:t xml:space="preserve">can be easily exported </w:t>
      </w:r>
      <w:r w:rsidRPr="0071238D">
        <w:rPr>
          <w:rFonts w:ascii="Source Sans Pro" w:hAnsi="Source Sans Pro"/>
          <w:sz w:val="24"/>
          <w:szCs w:val="24"/>
        </w:rPr>
        <w:t>into an Excel spreadsheet.</w:t>
      </w:r>
    </w:p>
    <w:p w14:paraId="26AD3AFC" w14:textId="77777777" w:rsidR="00263D2D" w:rsidRPr="0071238D" w:rsidRDefault="00576186" w:rsidP="0071238D">
      <w:pPr>
        <w:pStyle w:val="Heading2"/>
      </w:pPr>
      <w:r w:rsidRPr="0071238D">
        <w:t>Program Review</w:t>
      </w:r>
    </w:p>
    <w:p w14:paraId="5EBCA0C6" w14:textId="3E11CC5C" w:rsidR="00263D2D" w:rsidRPr="0071238D" w:rsidRDefault="00E54900" w:rsidP="005465E8">
      <w:pPr>
        <w:pStyle w:val="BodyText"/>
        <w:spacing w:before="0" w:after="160" w:line="259" w:lineRule="auto"/>
        <w:ind w:left="0"/>
        <w:rPr>
          <w:rFonts w:ascii="Source Sans Pro" w:hAnsi="Source Sans Pro"/>
          <w:sz w:val="24"/>
          <w:szCs w:val="24"/>
        </w:rPr>
      </w:pPr>
      <w:hyperlink r:id="rId18" w:history="1">
        <w:r w:rsidR="00576186" w:rsidRPr="0071238D">
          <w:rPr>
            <w:rStyle w:val="Hyperlink"/>
            <w:rFonts w:ascii="Source Sans Pro" w:hAnsi="Source Sans Pro"/>
            <w:sz w:val="24"/>
            <w:szCs w:val="24"/>
          </w:rPr>
          <w:t>Data Mart</w:t>
        </w:r>
      </w:hyperlink>
      <w:r w:rsidR="00576186" w:rsidRPr="0071238D">
        <w:rPr>
          <w:rFonts w:ascii="Source Sans Pro" w:hAnsi="Source Sans Pro"/>
          <w:color w:val="0563C1"/>
          <w:sz w:val="24"/>
          <w:szCs w:val="24"/>
        </w:rPr>
        <w:t xml:space="preserve"> </w:t>
      </w:r>
      <w:r w:rsidR="00576186" w:rsidRPr="0071238D">
        <w:rPr>
          <w:rFonts w:ascii="Source Sans Pro" w:hAnsi="Source Sans Pro"/>
          <w:sz w:val="24"/>
          <w:szCs w:val="24"/>
        </w:rPr>
        <w:t>is often used to support local program review processes because it provides access to disaggregated retention, success, and completion data at the college, district, and statewide levels. Data in these series of tabs is consistent with the data used for statewide accountability reporting.</w:t>
      </w:r>
    </w:p>
    <w:p w14:paraId="6E0BB56A" w14:textId="77777777" w:rsidR="0071238D" w:rsidRPr="0071238D" w:rsidRDefault="00576186" w:rsidP="00315CF7">
      <w:pPr>
        <w:pStyle w:val="BodyText"/>
        <w:spacing w:before="40" w:line="259" w:lineRule="auto"/>
        <w:ind w:left="0" w:right="177"/>
        <w:rPr>
          <w:rFonts w:ascii="Source Sans Pro" w:hAnsi="Source Sans Pro"/>
          <w:sz w:val="24"/>
          <w:szCs w:val="24"/>
        </w:rPr>
      </w:pPr>
      <w:r w:rsidRPr="0071238D">
        <w:rPr>
          <w:rFonts w:ascii="Source Sans Pro" w:hAnsi="Source Sans Pro"/>
          <w:sz w:val="24"/>
          <w:szCs w:val="24"/>
        </w:rPr>
        <w:t xml:space="preserve">The </w:t>
      </w:r>
      <w:hyperlink r:id="rId19" w:history="1">
        <w:r w:rsidRPr="0071238D">
          <w:rPr>
            <w:rStyle w:val="Hyperlink"/>
            <w:rFonts w:ascii="Source Sans Pro" w:hAnsi="Source Sans Pro"/>
            <w:sz w:val="24"/>
            <w:szCs w:val="24"/>
          </w:rPr>
          <w:t>LaunchBoard Community College Pipeline</w:t>
        </w:r>
      </w:hyperlink>
      <w:r w:rsidRPr="0071238D">
        <w:rPr>
          <w:rFonts w:ascii="Source Sans Pro" w:hAnsi="Source Sans Pro"/>
          <w:color w:val="0563C1"/>
          <w:sz w:val="24"/>
          <w:szCs w:val="24"/>
        </w:rPr>
        <w:t xml:space="preserve"> </w:t>
      </w:r>
      <w:r w:rsidRPr="0071238D">
        <w:rPr>
          <w:rFonts w:ascii="Source Sans Pro" w:hAnsi="Source Sans Pro"/>
          <w:sz w:val="24"/>
          <w:szCs w:val="24"/>
        </w:rPr>
        <w:t>can provide enhanced views of the above data with program</w:t>
      </w:r>
      <w:r w:rsidRPr="0071238D">
        <w:rPr>
          <w:rFonts w:ascii="Cambria Math" w:hAnsi="Cambria Math" w:cs="Cambria Math"/>
          <w:sz w:val="24"/>
          <w:szCs w:val="24"/>
        </w:rPr>
        <w:t>‐</w:t>
      </w:r>
      <w:r w:rsidRPr="0071238D">
        <w:rPr>
          <w:rFonts w:ascii="Source Sans Pro" w:hAnsi="Source Sans Pro"/>
          <w:sz w:val="24"/>
          <w:szCs w:val="24"/>
        </w:rPr>
        <w:t>level information, by showing whether students are continuing to enroll either in the same college or in other colleges in the region, providing comparisons to similar programs in the region or</w:t>
      </w:r>
      <w:r w:rsidR="0071238D">
        <w:rPr>
          <w:rFonts w:ascii="Source Sans Pro" w:hAnsi="Source Sans Pro"/>
          <w:sz w:val="24"/>
          <w:szCs w:val="24"/>
        </w:rPr>
        <w:t xml:space="preserve"> </w:t>
      </w:r>
      <w:r w:rsidR="0071238D" w:rsidRPr="0071238D">
        <w:rPr>
          <w:rFonts w:ascii="Source Sans Pro" w:hAnsi="Source Sans Pro"/>
          <w:sz w:val="24"/>
          <w:szCs w:val="24"/>
        </w:rPr>
        <w:t>across the state, and offering historical trend data. The LaunchBoard also provides additional sources</w:t>
      </w:r>
      <w:r w:rsidR="0071238D" w:rsidRPr="0071238D">
        <w:rPr>
          <w:rFonts w:ascii="Source Sans Pro" w:hAnsi="Source Sans Pro"/>
          <w:spacing w:val="-36"/>
          <w:sz w:val="24"/>
          <w:szCs w:val="24"/>
        </w:rPr>
        <w:t xml:space="preserve"> </w:t>
      </w:r>
      <w:r w:rsidR="0071238D" w:rsidRPr="0071238D">
        <w:rPr>
          <w:rFonts w:ascii="Source Sans Pro" w:hAnsi="Source Sans Pro"/>
          <w:sz w:val="24"/>
          <w:szCs w:val="24"/>
        </w:rPr>
        <w:t>of information, such as annual employment and earnings data, skills</w:t>
      </w:r>
      <w:r w:rsidR="0071238D" w:rsidRPr="0071238D">
        <w:rPr>
          <w:rFonts w:ascii="Cambria Math" w:hAnsi="Cambria Math" w:cs="Cambria Math"/>
          <w:sz w:val="24"/>
          <w:szCs w:val="24"/>
        </w:rPr>
        <w:t>‐</w:t>
      </w:r>
      <w:r w:rsidR="0071238D" w:rsidRPr="0071238D">
        <w:rPr>
          <w:rFonts w:ascii="Source Sans Pro" w:hAnsi="Source Sans Pro"/>
          <w:sz w:val="24"/>
          <w:szCs w:val="24"/>
        </w:rPr>
        <w:t>builder outcomes, and regional labor market</w:t>
      </w:r>
      <w:r w:rsidR="0071238D" w:rsidRPr="0071238D">
        <w:rPr>
          <w:rFonts w:ascii="Source Sans Pro" w:hAnsi="Source Sans Pro"/>
          <w:spacing w:val="-1"/>
          <w:sz w:val="24"/>
          <w:szCs w:val="24"/>
        </w:rPr>
        <w:t xml:space="preserve"> </w:t>
      </w:r>
      <w:r w:rsidR="0071238D" w:rsidRPr="0071238D">
        <w:rPr>
          <w:rFonts w:ascii="Source Sans Pro" w:hAnsi="Source Sans Pro"/>
          <w:sz w:val="24"/>
          <w:szCs w:val="24"/>
        </w:rPr>
        <w:t>information.</w:t>
      </w:r>
    </w:p>
    <w:p w14:paraId="552C8D0D" w14:textId="7CF9EF34" w:rsidR="0071238D" w:rsidRPr="0071238D" w:rsidRDefault="0071238D" w:rsidP="00C317D3">
      <w:pPr>
        <w:pStyle w:val="BodyText"/>
        <w:spacing w:before="160" w:line="259" w:lineRule="auto"/>
        <w:ind w:left="0" w:right="101"/>
        <w:rPr>
          <w:rFonts w:ascii="Source Sans Pro" w:hAnsi="Source Sans Pro"/>
          <w:sz w:val="24"/>
          <w:szCs w:val="24"/>
        </w:rPr>
      </w:pPr>
      <w:r w:rsidRPr="0071238D">
        <w:rPr>
          <w:rFonts w:ascii="Source Sans Pro" w:hAnsi="Source Sans Pro"/>
          <w:sz w:val="24"/>
          <w:szCs w:val="24"/>
        </w:rPr>
        <w:t>More nuanced employment and earnings data can be found in responses to the CTE Outcomes Survey, such as whether students are employed full</w:t>
      </w:r>
      <w:r w:rsidRPr="0071238D">
        <w:rPr>
          <w:rFonts w:ascii="Cambria Math" w:hAnsi="Cambria Math" w:cs="Cambria Math"/>
          <w:sz w:val="24"/>
          <w:szCs w:val="24"/>
        </w:rPr>
        <w:t>‐</w:t>
      </w:r>
      <w:r w:rsidRPr="0071238D">
        <w:rPr>
          <w:rFonts w:ascii="Source Sans Pro" w:hAnsi="Source Sans Pro"/>
          <w:sz w:val="24"/>
          <w:szCs w:val="24"/>
        </w:rPr>
        <w:t xml:space="preserve"> or part</w:t>
      </w:r>
      <w:r w:rsidRPr="0071238D">
        <w:rPr>
          <w:rFonts w:ascii="Cambria Math" w:hAnsi="Cambria Math" w:cs="Cambria Math"/>
          <w:sz w:val="24"/>
          <w:szCs w:val="24"/>
        </w:rPr>
        <w:t>‐</w:t>
      </w:r>
      <w:r w:rsidRPr="0071238D">
        <w:rPr>
          <w:rFonts w:ascii="Source Sans Pro" w:hAnsi="Source Sans Pro"/>
          <w:sz w:val="24"/>
          <w:szCs w:val="24"/>
        </w:rPr>
        <w:t>time, whether students are self</w:t>
      </w:r>
      <w:r w:rsidRPr="0071238D">
        <w:rPr>
          <w:rFonts w:ascii="Cambria Math" w:hAnsi="Cambria Math" w:cs="Cambria Math"/>
          <w:sz w:val="24"/>
          <w:szCs w:val="24"/>
        </w:rPr>
        <w:t>‐</w:t>
      </w:r>
      <w:r w:rsidRPr="0071238D">
        <w:rPr>
          <w:rFonts w:ascii="Source Sans Pro" w:hAnsi="Source Sans Pro"/>
          <w:sz w:val="24"/>
          <w:szCs w:val="24"/>
        </w:rPr>
        <w:t xml:space="preserve">employed, how long it took for them to find a job, and whether they are employed in their field of study. Responses to many CTE Outcomes Survey questions are integrated into the </w:t>
      </w:r>
      <w:hyperlink r:id="rId20" w:history="1">
        <w:r w:rsidR="000F2C8D" w:rsidRPr="0071238D">
          <w:rPr>
            <w:rStyle w:val="Hyperlink"/>
            <w:rFonts w:ascii="Source Sans Pro" w:hAnsi="Source Sans Pro"/>
            <w:sz w:val="24"/>
            <w:szCs w:val="24"/>
          </w:rPr>
          <w:t>LaunchBoard Community College Pipeline</w:t>
        </w:r>
      </w:hyperlink>
      <w:r w:rsidRPr="0071238D">
        <w:rPr>
          <w:rFonts w:ascii="Source Sans Pro" w:hAnsi="Source Sans Pro"/>
          <w:sz w:val="24"/>
          <w:szCs w:val="24"/>
        </w:rPr>
        <w:t>. You can also analyze outcomes using</w:t>
      </w:r>
      <w:r w:rsidR="00F8758F">
        <w:rPr>
          <w:rFonts w:ascii="Source Sans Pro" w:hAnsi="Source Sans Pro"/>
          <w:sz w:val="24"/>
          <w:szCs w:val="24"/>
        </w:rPr>
        <w:t xml:space="preserve"> the</w:t>
      </w:r>
      <w:r w:rsidRPr="0071238D">
        <w:rPr>
          <w:rFonts w:ascii="Source Sans Pro" w:hAnsi="Source Sans Pro"/>
          <w:sz w:val="24"/>
          <w:szCs w:val="24"/>
        </w:rPr>
        <w:t xml:space="preserve"> Tableau software on the </w:t>
      </w:r>
      <w:hyperlink r:id="rId21" w:history="1">
        <w:r w:rsidRPr="000F2C8D">
          <w:rPr>
            <w:rStyle w:val="Hyperlink"/>
            <w:rFonts w:ascii="Source Sans Pro" w:hAnsi="Source Sans Pro"/>
            <w:sz w:val="24"/>
            <w:szCs w:val="24"/>
          </w:rPr>
          <w:t>Santa Rosa Junior College CTE Outcomes Survey website</w:t>
        </w:r>
      </w:hyperlink>
      <w:r w:rsidRPr="0071238D">
        <w:rPr>
          <w:rFonts w:ascii="Source Sans Pro" w:hAnsi="Source Sans Pro"/>
          <w:sz w:val="24"/>
          <w:szCs w:val="24"/>
        </w:rPr>
        <w:t>.</w:t>
      </w:r>
    </w:p>
    <w:p w14:paraId="292C1F1D" w14:textId="5B41AA98" w:rsidR="0071238D" w:rsidRPr="0071238D" w:rsidRDefault="0071238D" w:rsidP="00315CF7">
      <w:pPr>
        <w:pStyle w:val="BodyText"/>
        <w:spacing w:before="160" w:line="259" w:lineRule="auto"/>
        <w:ind w:left="0" w:right="230"/>
        <w:rPr>
          <w:rFonts w:ascii="Source Sans Pro" w:hAnsi="Source Sans Pro"/>
          <w:sz w:val="24"/>
          <w:szCs w:val="24"/>
        </w:rPr>
      </w:pPr>
      <w:r w:rsidRPr="0071238D">
        <w:rPr>
          <w:rFonts w:ascii="Source Sans Pro" w:hAnsi="Source Sans Pro"/>
          <w:sz w:val="24"/>
          <w:szCs w:val="24"/>
        </w:rPr>
        <w:t xml:space="preserve">As described above (under Program Development), colleges can use the Centers of Excellence </w:t>
      </w:r>
      <w:hyperlink r:id="rId22" w:history="1">
        <w:r w:rsidRPr="000F2C8D">
          <w:rPr>
            <w:rStyle w:val="Hyperlink"/>
            <w:rFonts w:ascii="Source Sans Pro" w:hAnsi="Source Sans Pro"/>
            <w:sz w:val="24"/>
            <w:szCs w:val="24"/>
          </w:rPr>
          <w:t>Demand and Supply tools</w:t>
        </w:r>
      </w:hyperlink>
      <w:r w:rsidRPr="0071238D">
        <w:rPr>
          <w:rFonts w:ascii="Source Sans Pro" w:hAnsi="Source Sans Pro"/>
          <w:color w:val="0563C1"/>
          <w:sz w:val="24"/>
          <w:szCs w:val="24"/>
        </w:rPr>
        <w:t xml:space="preserve"> </w:t>
      </w:r>
      <w:r w:rsidRPr="0071238D">
        <w:rPr>
          <w:rFonts w:ascii="Source Sans Pro" w:hAnsi="Source Sans Pro"/>
          <w:sz w:val="24"/>
          <w:szCs w:val="24"/>
        </w:rPr>
        <w:t xml:space="preserve">and </w:t>
      </w:r>
      <w:hyperlink r:id="rId23" w:anchor="studybyregion" w:history="1">
        <w:r w:rsidRPr="000F2C8D">
          <w:rPr>
            <w:rStyle w:val="Hyperlink"/>
            <w:rFonts w:ascii="Source Sans Pro" w:hAnsi="Source Sans Pro"/>
            <w:sz w:val="24"/>
            <w:szCs w:val="24"/>
          </w:rPr>
          <w:t>research reports</w:t>
        </w:r>
      </w:hyperlink>
      <w:r w:rsidRPr="0071238D">
        <w:rPr>
          <w:rFonts w:ascii="Source Sans Pro" w:hAnsi="Source Sans Pro"/>
          <w:color w:val="0563C1"/>
          <w:sz w:val="24"/>
          <w:szCs w:val="24"/>
        </w:rPr>
        <w:t xml:space="preserve"> </w:t>
      </w:r>
      <w:r w:rsidRPr="0071238D">
        <w:rPr>
          <w:rFonts w:ascii="Source Sans Pro" w:hAnsi="Source Sans Pro"/>
          <w:sz w:val="24"/>
          <w:szCs w:val="24"/>
        </w:rPr>
        <w:t>to get more detailed information on programs and projected job openings.</w:t>
      </w:r>
    </w:p>
    <w:p w14:paraId="1CB26AE3" w14:textId="3347594A" w:rsidR="0071238D" w:rsidRPr="0071238D" w:rsidRDefault="0071238D" w:rsidP="0071238D">
      <w:pPr>
        <w:pStyle w:val="BodyText"/>
        <w:spacing w:before="160" w:line="259" w:lineRule="auto"/>
        <w:ind w:left="0" w:right="247"/>
        <w:rPr>
          <w:rFonts w:ascii="Source Sans Pro" w:hAnsi="Source Sans Pro"/>
          <w:sz w:val="24"/>
          <w:szCs w:val="24"/>
        </w:rPr>
      </w:pPr>
      <w:r w:rsidRPr="0071238D">
        <w:rPr>
          <w:rFonts w:ascii="Source Sans Pro" w:hAnsi="Source Sans Pro"/>
          <w:sz w:val="24"/>
          <w:szCs w:val="24"/>
        </w:rPr>
        <w:t xml:space="preserve">Colleges with small programs may be able to find additional earnings information on the </w:t>
      </w:r>
      <w:hyperlink r:id="rId24" w:history="1">
        <w:r w:rsidRPr="001E1EE5">
          <w:rPr>
            <w:rStyle w:val="Hyperlink"/>
            <w:rFonts w:ascii="Source Sans Pro" w:hAnsi="Source Sans Pro"/>
            <w:sz w:val="24"/>
            <w:szCs w:val="24"/>
          </w:rPr>
          <w:t>Data Mart’s College Wage Tracker,</w:t>
        </w:r>
      </w:hyperlink>
      <w:r w:rsidRPr="0071238D">
        <w:rPr>
          <w:rFonts w:ascii="Source Sans Pro" w:hAnsi="Source Sans Pro"/>
          <w:sz w:val="24"/>
          <w:szCs w:val="24"/>
        </w:rPr>
        <w:t xml:space="preserve"> which aggregates post</w:t>
      </w:r>
      <w:r w:rsidRPr="0071238D">
        <w:rPr>
          <w:rFonts w:ascii="Cambria Math" w:hAnsi="Cambria Math" w:cs="Cambria Math"/>
          <w:sz w:val="24"/>
          <w:szCs w:val="24"/>
        </w:rPr>
        <w:t>‐</w:t>
      </w:r>
      <w:r w:rsidRPr="0071238D">
        <w:rPr>
          <w:rFonts w:ascii="Source Sans Pro" w:hAnsi="Source Sans Pro"/>
          <w:sz w:val="24"/>
          <w:szCs w:val="24"/>
        </w:rPr>
        <w:t>college wages for graduates (including recipients of both local and Chancellor</w:t>
      </w:r>
      <w:r w:rsidRPr="0071238D">
        <w:rPr>
          <w:rFonts w:ascii="Source Sans Pro" w:hAnsi="Source Sans Pro" w:cs="Source Sans Pro"/>
          <w:sz w:val="24"/>
          <w:szCs w:val="24"/>
        </w:rPr>
        <w:t>’</w:t>
      </w:r>
      <w:r w:rsidRPr="0071238D">
        <w:rPr>
          <w:rFonts w:ascii="Source Sans Pro" w:hAnsi="Source Sans Pro"/>
          <w:sz w:val="24"/>
          <w:szCs w:val="24"/>
        </w:rPr>
        <w:t>s Office approved certificates) over multiple years, as a way to ensure there are at least ten records to display.</w:t>
      </w:r>
    </w:p>
    <w:p w14:paraId="41C0AA17" w14:textId="77777777" w:rsidR="0071238D" w:rsidRPr="0071238D" w:rsidRDefault="0071238D" w:rsidP="0071238D">
      <w:pPr>
        <w:pStyle w:val="Heading2"/>
      </w:pPr>
      <w:r w:rsidRPr="0071238D">
        <w:t>Accreditation</w:t>
      </w:r>
    </w:p>
    <w:p w14:paraId="1749FA6B" w14:textId="6640E81D" w:rsidR="0071238D" w:rsidRPr="0071238D" w:rsidRDefault="00E54900" w:rsidP="0071238D">
      <w:pPr>
        <w:pStyle w:val="BodyText"/>
        <w:spacing w:before="26" w:line="259" w:lineRule="auto"/>
        <w:ind w:left="0"/>
        <w:rPr>
          <w:rFonts w:ascii="Source Sans Pro" w:hAnsi="Source Sans Pro"/>
          <w:sz w:val="24"/>
          <w:szCs w:val="24"/>
        </w:rPr>
      </w:pPr>
      <w:hyperlink r:id="rId25" w:history="1">
        <w:r w:rsidR="001E1EE5" w:rsidRPr="0071238D">
          <w:rPr>
            <w:rStyle w:val="Hyperlink"/>
            <w:rFonts w:ascii="Source Sans Pro" w:hAnsi="Source Sans Pro"/>
            <w:sz w:val="24"/>
            <w:szCs w:val="24"/>
          </w:rPr>
          <w:t>Data Mart</w:t>
        </w:r>
      </w:hyperlink>
      <w:r w:rsidR="001E1EE5">
        <w:rPr>
          <w:rFonts w:ascii="Source Sans Pro" w:hAnsi="Source Sans Pro"/>
          <w:color w:val="0563C1"/>
          <w:sz w:val="24"/>
          <w:szCs w:val="24"/>
          <w:u w:val="single" w:color="0563C1"/>
        </w:rPr>
        <w:t xml:space="preserve"> </w:t>
      </w:r>
      <w:r w:rsidR="0071238D" w:rsidRPr="0071238D">
        <w:rPr>
          <w:rFonts w:ascii="Source Sans Pro" w:hAnsi="Source Sans Pro"/>
          <w:sz w:val="24"/>
          <w:szCs w:val="24"/>
        </w:rPr>
        <w:t>is often also used for accreditation purposes because it provides access to disaggregated retention, success, and completion data at the college, district, and statewide levels. Data in these series of tabs is consistent with the data used for statewide accountability reporting.</w:t>
      </w:r>
    </w:p>
    <w:p w14:paraId="0C1887FB" w14:textId="0035FC09" w:rsidR="0071238D" w:rsidRPr="0071238D" w:rsidRDefault="0071238D" w:rsidP="0071238D">
      <w:pPr>
        <w:pStyle w:val="BodyText"/>
        <w:spacing w:line="259" w:lineRule="auto"/>
        <w:ind w:left="0" w:right="91"/>
        <w:rPr>
          <w:rFonts w:ascii="Source Sans Pro" w:hAnsi="Source Sans Pro"/>
          <w:sz w:val="24"/>
          <w:szCs w:val="24"/>
        </w:rPr>
      </w:pPr>
      <w:r w:rsidRPr="0071238D">
        <w:rPr>
          <w:rFonts w:ascii="Source Sans Pro" w:hAnsi="Source Sans Pro"/>
          <w:sz w:val="24"/>
          <w:szCs w:val="24"/>
        </w:rPr>
        <w:t xml:space="preserve">The </w:t>
      </w:r>
      <w:hyperlink r:id="rId26" w:history="1">
        <w:r w:rsidR="001E1EE5" w:rsidRPr="0071238D">
          <w:rPr>
            <w:rStyle w:val="Hyperlink"/>
            <w:rFonts w:ascii="Source Sans Pro" w:hAnsi="Source Sans Pro"/>
            <w:sz w:val="24"/>
            <w:szCs w:val="24"/>
          </w:rPr>
          <w:t>LaunchBoard Community College Pipeline</w:t>
        </w:r>
      </w:hyperlink>
      <w:r w:rsidR="001E1EE5">
        <w:rPr>
          <w:rFonts w:ascii="Source Sans Pro" w:hAnsi="Source Sans Pro"/>
          <w:color w:val="0563C1"/>
          <w:sz w:val="24"/>
          <w:szCs w:val="24"/>
          <w:u w:val="single" w:color="0563C1"/>
        </w:rPr>
        <w:t xml:space="preserve"> </w:t>
      </w:r>
      <w:r w:rsidRPr="0071238D">
        <w:rPr>
          <w:rFonts w:ascii="Source Sans Pro" w:hAnsi="Source Sans Pro"/>
          <w:sz w:val="24"/>
          <w:szCs w:val="24"/>
        </w:rPr>
        <w:t>provides information that can support accreditation reporting, including successful course completion rate, unduplicated counts of students who earned Chancellor’s Office approved certificates and degrees, unduplicated count of students who transferred, employment rates for graduates</w:t>
      </w:r>
      <w:r w:rsidR="00284790">
        <w:rPr>
          <w:rFonts w:ascii="Source Sans Pro" w:hAnsi="Source Sans Pro"/>
          <w:sz w:val="24"/>
          <w:szCs w:val="24"/>
        </w:rPr>
        <w:t>, and job placement rates for students who were previously unemployed</w:t>
      </w:r>
      <w:r w:rsidRPr="0071238D">
        <w:rPr>
          <w:rFonts w:ascii="Source Sans Pro" w:hAnsi="Source Sans Pro"/>
          <w:sz w:val="24"/>
          <w:szCs w:val="24"/>
        </w:rPr>
        <w:t xml:space="preserve">. This </w:t>
      </w:r>
      <w:r w:rsidR="00982FC4">
        <w:rPr>
          <w:rFonts w:ascii="Source Sans Pro" w:hAnsi="Source Sans Pro"/>
          <w:sz w:val="24"/>
          <w:szCs w:val="24"/>
        </w:rPr>
        <w:t xml:space="preserve">data </w:t>
      </w:r>
      <w:r w:rsidRPr="0071238D">
        <w:rPr>
          <w:rFonts w:ascii="Source Sans Pro" w:hAnsi="Source Sans Pro"/>
          <w:sz w:val="24"/>
          <w:szCs w:val="24"/>
        </w:rPr>
        <w:t>can be viewed either for all college programs</w:t>
      </w:r>
      <w:r w:rsidR="00982FC4">
        <w:rPr>
          <w:rFonts w:ascii="Source Sans Pro" w:hAnsi="Source Sans Pro"/>
          <w:sz w:val="24"/>
          <w:szCs w:val="24"/>
        </w:rPr>
        <w:t>, all CTE programs, all non-CTE programs, sectors</w:t>
      </w:r>
      <w:r w:rsidRPr="0071238D">
        <w:rPr>
          <w:rFonts w:ascii="Source Sans Pro" w:hAnsi="Source Sans Pro"/>
          <w:sz w:val="24"/>
          <w:szCs w:val="24"/>
        </w:rPr>
        <w:t xml:space="preserve"> or selected TOP codes</w:t>
      </w:r>
      <w:r w:rsidR="00982FC4">
        <w:rPr>
          <w:rFonts w:ascii="Source Sans Pro" w:hAnsi="Source Sans Pro"/>
          <w:sz w:val="24"/>
          <w:szCs w:val="24"/>
        </w:rPr>
        <w:t xml:space="preserve"> at the four-digit or six-digit level</w:t>
      </w:r>
      <w:r w:rsidRPr="0071238D">
        <w:rPr>
          <w:rFonts w:ascii="Source Sans Pro" w:hAnsi="Source Sans Pro"/>
          <w:sz w:val="24"/>
          <w:szCs w:val="24"/>
        </w:rPr>
        <w:t>. Colleges can also see comparison data by region, statewide, historical trends, or compare with specific colleges</w:t>
      </w:r>
      <w:r w:rsidR="00982FC4">
        <w:rPr>
          <w:rFonts w:ascii="Source Sans Pro" w:hAnsi="Source Sans Pro"/>
          <w:sz w:val="24"/>
          <w:szCs w:val="24"/>
        </w:rPr>
        <w:t xml:space="preserve"> or districts</w:t>
      </w:r>
      <w:r w:rsidRPr="0071238D">
        <w:rPr>
          <w:rFonts w:ascii="Source Sans Pro" w:hAnsi="Source Sans Pro"/>
          <w:sz w:val="24"/>
          <w:szCs w:val="24"/>
        </w:rPr>
        <w:t xml:space="preserve"> to determine institution</w:t>
      </w:r>
      <w:r w:rsidRPr="0071238D">
        <w:rPr>
          <w:rFonts w:ascii="Cambria Math" w:hAnsi="Cambria Math" w:cs="Cambria Math"/>
          <w:sz w:val="24"/>
          <w:szCs w:val="24"/>
        </w:rPr>
        <w:t>‐</w:t>
      </w:r>
      <w:r w:rsidRPr="0071238D">
        <w:rPr>
          <w:rFonts w:ascii="Source Sans Pro" w:hAnsi="Source Sans Pro"/>
          <w:sz w:val="24"/>
          <w:szCs w:val="24"/>
        </w:rPr>
        <w:t>set standards.</w:t>
      </w:r>
    </w:p>
    <w:p w14:paraId="7DDED1FD" w14:textId="2E9C3EE9" w:rsidR="0071238D" w:rsidRPr="00C317D3" w:rsidRDefault="0071238D" w:rsidP="00C317D3">
      <w:pPr>
        <w:pStyle w:val="Heading2"/>
      </w:pPr>
      <w:r w:rsidRPr="00C317D3">
        <w:t>Student Educational Planning</w:t>
      </w:r>
    </w:p>
    <w:p w14:paraId="682AE259" w14:textId="2640898B" w:rsidR="0071238D" w:rsidRPr="0071238D" w:rsidRDefault="00E54900" w:rsidP="005465E8">
      <w:pPr>
        <w:pStyle w:val="BodyText"/>
        <w:spacing w:before="0" w:after="160" w:line="259" w:lineRule="auto"/>
        <w:ind w:left="0" w:right="86"/>
        <w:rPr>
          <w:rFonts w:ascii="Source Sans Pro" w:hAnsi="Source Sans Pro"/>
          <w:sz w:val="24"/>
          <w:szCs w:val="24"/>
        </w:rPr>
      </w:pPr>
      <w:hyperlink r:id="rId27" w:history="1">
        <w:r w:rsidR="0071238D" w:rsidRPr="00AD42D9">
          <w:rPr>
            <w:rStyle w:val="Hyperlink"/>
            <w:rFonts w:ascii="Source Sans Pro" w:hAnsi="Source Sans Pro"/>
            <w:sz w:val="24"/>
            <w:szCs w:val="24"/>
          </w:rPr>
          <w:t>Salary Surfer</w:t>
        </w:r>
      </w:hyperlink>
      <w:r w:rsidR="0071238D" w:rsidRPr="0071238D">
        <w:rPr>
          <w:rFonts w:ascii="Source Sans Pro" w:hAnsi="Source Sans Pro"/>
          <w:color w:val="0563C1"/>
          <w:sz w:val="24"/>
          <w:szCs w:val="24"/>
        </w:rPr>
        <w:t xml:space="preserve"> </w:t>
      </w:r>
      <w:r w:rsidR="0071238D" w:rsidRPr="0071238D">
        <w:rPr>
          <w:rFonts w:ascii="Source Sans Pro" w:hAnsi="Source Sans Pro"/>
          <w:sz w:val="24"/>
          <w:szCs w:val="24"/>
        </w:rPr>
        <w:t>is a helpful tool for helping students understand the different earnings trajectories for specific program areas, by showing the statewide pre</w:t>
      </w:r>
      <w:r w:rsidR="0071238D" w:rsidRPr="0071238D">
        <w:rPr>
          <w:rFonts w:ascii="Cambria Math" w:hAnsi="Cambria Math" w:cs="Cambria Math"/>
          <w:sz w:val="24"/>
          <w:szCs w:val="24"/>
        </w:rPr>
        <w:t>‐</w:t>
      </w:r>
      <w:r w:rsidR="0071238D" w:rsidRPr="0071238D">
        <w:rPr>
          <w:rFonts w:ascii="Source Sans Pro" w:hAnsi="Source Sans Pro"/>
          <w:sz w:val="24"/>
          <w:szCs w:val="24"/>
        </w:rPr>
        <w:t xml:space="preserve"> and post</w:t>
      </w:r>
      <w:r w:rsidR="0071238D" w:rsidRPr="0071238D">
        <w:rPr>
          <w:rFonts w:ascii="Cambria Math" w:hAnsi="Cambria Math" w:cs="Cambria Math"/>
          <w:sz w:val="24"/>
          <w:szCs w:val="24"/>
        </w:rPr>
        <w:t>‐</w:t>
      </w:r>
      <w:r w:rsidR="0071238D" w:rsidRPr="0071238D">
        <w:rPr>
          <w:rFonts w:ascii="Source Sans Pro" w:hAnsi="Source Sans Pro"/>
          <w:sz w:val="24"/>
          <w:szCs w:val="24"/>
        </w:rPr>
        <w:t xml:space="preserve">college earnings for students who earned Chancellor’s Office approved certificates and degrees. Results are sorted by TOP code and by award type. This information is also available through the </w:t>
      </w:r>
      <w:hyperlink r:id="rId28" w:history="1">
        <w:r w:rsidR="0071238D" w:rsidRPr="00AD42D9">
          <w:rPr>
            <w:rStyle w:val="Hyperlink"/>
            <w:rFonts w:ascii="Source Sans Pro" w:hAnsi="Source Sans Pro"/>
            <w:sz w:val="24"/>
            <w:szCs w:val="24"/>
          </w:rPr>
          <w:t>Her</w:t>
        </w:r>
        <w:r w:rsidR="0071238D" w:rsidRPr="00AD42D9">
          <w:rPr>
            <w:rStyle w:val="Hyperlink"/>
            <w:rFonts w:ascii="Source Sans Pro" w:hAnsi="Source Sans Pro"/>
            <w:sz w:val="24"/>
            <w:szCs w:val="24"/>
          </w:rPr>
          <w:t>e</w:t>
        </w:r>
        <w:r w:rsidR="0071238D" w:rsidRPr="00AD42D9">
          <w:rPr>
            <w:rStyle w:val="Hyperlink"/>
            <w:rFonts w:ascii="Source Sans Pro" w:hAnsi="Source Sans Pro"/>
            <w:sz w:val="24"/>
            <w:szCs w:val="24"/>
          </w:rPr>
          <w:t xml:space="preserve"> to Career</w:t>
        </w:r>
      </w:hyperlink>
      <w:r w:rsidR="0071238D" w:rsidRPr="0071238D">
        <w:rPr>
          <w:rFonts w:ascii="Source Sans Pro" w:hAnsi="Source Sans Pro"/>
          <w:color w:val="0563C1"/>
          <w:sz w:val="24"/>
          <w:szCs w:val="24"/>
        </w:rPr>
        <w:t xml:space="preserve"> </w:t>
      </w:r>
      <w:r w:rsidR="0071238D" w:rsidRPr="0071238D">
        <w:rPr>
          <w:rFonts w:ascii="Source Sans Pro" w:hAnsi="Source Sans Pro"/>
          <w:sz w:val="24"/>
          <w:szCs w:val="24"/>
        </w:rPr>
        <w:t>app, which provides career exploration tools and labor market information in addition to earnings data.</w:t>
      </w:r>
    </w:p>
    <w:p w14:paraId="1C00484E" w14:textId="3B8637A8" w:rsidR="001E1EE5" w:rsidRPr="0071238D" w:rsidRDefault="0071238D" w:rsidP="001E1EE5">
      <w:pPr>
        <w:pStyle w:val="BodyText"/>
        <w:spacing w:before="40" w:line="259" w:lineRule="auto"/>
        <w:ind w:left="0" w:right="684"/>
        <w:rPr>
          <w:rFonts w:ascii="Source Sans Pro" w:hAnsi="Source Sans Pro"/>
          <w:sz w:val="24"/>
          <w:szCs w:val="24"/>
        </w:rPr>
      </w:pPr>
      <w:r w:rsidRPr="0071238D">
        <w:rPr>
          <w:rFonts w:ascii="Source Sans Pro" w:hAnsi="Source Sans Pro"/>
          <w:sz w:val="24"/>
          <w:szCs w:val="24"/>
        </w:rPr>
        <w:t>College practitioners can pull program</w:t>
      </w:r>
      <w:r w:rsidRPr="0071238D">
        <w:rPr>
          <w:rFonts w:ascii="Cambria Math" w:hAnsi="Cambria Math" w:cs="Cambria Math"/>
          <w:sz w:val="24"/>
          <w:szCs w:val="24"/>
        </w:rPr>
        <w:t>‐</w:t>
      </w:r>
      <w:r w:rsidRPr="0071238D">
        <w:rPr>
          <w:rFonts w:ascii="Source Sans Pro" w:hAnsi="Source Sans Pro"/>
          <w:sz w:val="24"/>
          <w:szCs w:val="24"/>
        </w:rPr>
        <w:t xml:space="preserve">level information from the </w:t>
      </w:r>
      <w:hyperlink r:id="rId29" w:history="1">
        <w:r w:rsidR="001E1EE5" w:rsidRPr="0071238D">
          <w:rPr>
            <w:rStyle w:val="Hyperlink"/>
            <w:rFonts w:ascii="Source Sans Pro" w:hAnsi="Source Sans Pro"/>
            <w:sz w:val="24"/>
            <w:szCs w:val="24"/>
          </w:rPr>
          <w:t>LaunchBoard Community College Pipeline</w:t>
        </w:r>
      </w:hyperlink>
      <w:r w:rsidR="001E1EE5">
        <w:rPr>
          <w:rFonts w:ascii="Source Sans Pro" w:hAnsi="Source Sans Pro"/>
          <w:color w:val="0563C1"/>
          <w:sz w:val="24"/>
          <w:szCs w:val="24"/>
          <w:u w:val="single" w:color="0563C1"/>
        </w:rPr>
        <w:t xml:space="preserve"> </w:t>
      </w:r>
      <w:r w:rsidRPr="0071238D">
        <w:rPr>
          <w:rFonts w:ascii="Source Sans Pro" w:hAnsi="Source Sans Pro"/>
          <w:sz w:val="24"/>
          <w:szCs w:val="24"/>
        </w:rPr>
        <w:t>to share with students, such as the proportion of former students who found jobs, the relative earnings gains for skills</w:t>
      </w:r>
      <w:r w:rsidRPr="0071238D">
        <w:rPr>
          <w:rFonts w:ascii="Cambria Math" w:hAnsi="Cambria Math" w:cs="Cambria Math"/>
          <w:sz w:val="24"/>
          <w:szCs w:val="24"/>
        </w:rPr>
        <w:t>‐</w:t>
      </w:r>
      <w:r w:rsidRPr="0071238D">
        <w:rPr>
          <w:rFonts w:ascii="Source Sans Pro" w:hAnsi="Source Sans Pro"/>
          <w:sz w:val="24"/>
          <w:szCs w:val="24"/>
        </w:rPr>
        <w:t>builders versus completers, whether students are attaining living wages, as wel</w:t>
      </w:r>
      <w:r w:rsidR="001E1EE5">
        <w:rPr>
          <w:rFonts w:ascii="Source Sans Pro" w:hAnsi="Source Sans Pro"/>
          <w:sz w:val="24"/>
          <w:szCs w:val="24"/>
        </w:rPr>
        <w:t xml:space="preserve">l </w:t>
      </w:r>
      <w:r w:rsidR="001E1EE5" w:rsidRPr="0071238D">
        <w:rPr>
          <w:rFonts w:ascii="Source Sans Pro" w:hAnsi="Source Sans Pro"/>
          <w:sz w:val="24"/>
          <w:szCs w:val="24"/>
        </w:rPr>
        <w:t>as labor market information about projected job openings in the region and expected educational attainment levels.</w:t>
      </w:r>
    </w:p>
    <w:p w14:paraId="7D2E444E" w14:textId="77777777" w:rsidR="001E1EE5" w:rsidRPr="0071238D" w:rsidRDefault="001E1EE5" w:rsidP="001E1EE5">
      <w:pPr>
        <w:pStyle w:val="Heading2"/>
      </w:pPr>
      <w:r w:rsidRPr="0071238D">
        <w:t>Equity Planning</w:t>
      </w:r>
    </w:p>
    <w:p w14:paraId="4B6A6C53" w14:textId="14B44975" w:rsidR="001E1EE5" w:rsidRPr="0071238D" w:rsidRDefault="5ACE8BBF" w:rsidP="00E02201">
      <w:pPr>
        <w:pStyle w:val="BodyText"/>
        <w:spacing w:before="0" w:after="160" w:line="259" w:lineRule="auto"/>
        <w:ind w:left="0" w:right="216"/>
        <w:rPr>
          <w:rFonts w:ascii="Source Sans Pro" w:hAnsi="Source Sans Pro"/>
          <w:sz w:val="24"/>
          <w:szCs w:val="24"/>
        </w:rPr>
      </w:pPr>
      <w:r w:rsidRPr="5ACE8BBF">
        <w:rPr>
          <w:rFonts w:ascii="Source Sans Pro" w:hAnsi="Source Sans Pro"/>
          <w:sz w:val="24"/>
          <w:szCs w:val="24"/>
        </w:rPr>
        <w:t>To provide a program</w:t>
      </w:r>
      <w:r w:rsidRPr="5ACE8BBF">
        <w:rPr>
          <w:rFonts w:ascii="Cambria Math" w:hAnsi="Cambria Math" w:cs="Cambria Math"/>
          <w:sz w:val="24"/>
          <w:szCs w:val="24"/>
        </w:rPr>
        <w:t>‐</w:t>
      </w:r>
      <w:r w:rsidRPr="5ACE8BBF">
        <w:rPr>
          <w:rFonts w:ascii="Source Sans Pro" w:hAnsi="Source Sans Pro"/>
          <w:sz w:val="24"/>
          <w:szCs w:val="24"/>
        </w:rPr>
        <w:t xml:space="preserve">level perspective on equity outcomes as part of the 2020-21 release, the </w:t>
      </w:r>
      <w:hyperlink r:id="rId30">
        <w:r w:rsidRPr="5ACE8BBF">
          <w:rPr>
            <w:rStyle w:val="Hyperlink"/>
            <w:rFonts w:ascii="Source Sans Pro" w:hAnsi="Source Sans Pro"/>
            <w:sz w:val="24"/>
            <w:szCs w:val="24"/>
          </w:rPr>
          <w:t>LaunchBoard Community College Pipeline</w:t>
        </w:r>
      </w:hyperlink>
      <w:r w:rsidRPr="5ACE8BBF">
        <w:rPr>
          <w:rFonts w:ascii="Source Sans Pro" w:hAnsi="Source Sans Pro"/>
          <w:color w:val="0563C1"/>
          <w:sz w:val="24"/>
          <w:szCs w:val="24"/>
          <w:u w:val="single"/>
        </w:rPr>
        <w:t xml:space="preserve"> </w:t>
      </w:r>
      <w:r w:rsidRPr="5ACE8BBF">
        <w:rPr>
          <w:rFonts w:ascii="Source Sans Pro" w:hAnsi="Source Sans Pro"/>
          <w:sz w:val="24"/>
          <w:szCs w:val="24"/>
        </w:rPr>
        <w:t xml:space="preserve">will add back in visuals on equity gaps for access, completion, transfer, and earnings. Gaps can be viewed based on gender, age, and ethnicity, by comparing the proportion of enrollments to the proportion of students who attained each outcome from each demographic group. The visuals will also clarify how many additional students would need to attain each outcome to close equity gaps. Tables and graphs can be easily exported in multiple formats for use in college planning. Similar information is available for adult education in the </w:t>
      </w:r>
      <w:hyperlink r:id="rId31">
        <w:r w:rsidRPr="5ACE8BBF">
          <w:rPr>
            <w:rStyle w:val="Hyperlink"/>
            <w:rFonts w:ascii="Source Sans Pro" w:hAnsi="Source Sans Pro"/>
            <w:sz w:val="24"/>
            <w:szCs w:val="24"/>
          </w:rPr>
          <w:t>Adult Education Pipeline</w:t>
        </w:r>
      </w:hyperlink>
      <w:r w:rsidRPr="5ACE8BBF">
        <w:rPr>
          <w:rFonts w:ascii="Source Sans Pro" w:hAnsi="Source Sans Pro"/>
          <w:sz w:val="24"/>
          <w:szCs w:val="24"/>
        </w:rPr>
        <w:t>.</w:t>
      </w:r>
    </w:p>
    <w:p w14:paraId="4CCA8697" w14:textId="7A8E01E5" w:rsidR="001E1EE5" w:rsidRPr="0071238D" w:rsidRDefault="001E1EE5" w:rsidP="5ACE8BBF">
      <w:pPr>
        <w:pStyle w:val="BodyText"/>
        <w:spacing w:before="56" w:line="259" w:lineRule="auto"/>
        <w:ind w:left="0"/>
        <w:rPr>
          <w:rStyle w:val="Hyperlink"/>
          <w:rFonts w:ascii="Source Sans Pro" w:hAnsi="Source Sans Pro"/>
          <w:sz w:val="24"/>
          <w:szCs w:val="24"/>
        </w:rPr>
      </w:pPr>
      <w:r w:rsidRPr="0071238D">
        <w:rPr>
          <w:rFonts w:ascii="Source Sans Pro" w:hAnsi="Source Sans Pro"/>
          <w:sz w:val="24"/>
          <w:szCs w:val="24"/>
        </w:rPr>
        <w:t xml:space="preserve">Information from the </w:t>
      </w:r>
      <w:hyperlink r:id="rId32" w:history="1">
        <w:r w:rsidRPr="00AD42D9">
          <w:rPr>
            <w:rStyle w:val="Hyperlink"/>
            <w:rFonts w:ascii="Source Sans Pro" w:hAnsi="Source Sans Pro"/>
            <w:sz w:val="24"/>
            <w:szCs w:val="24"/>
          </w:rPr>
          <w:t>Student Success Metrics</w:t>
        </w:r>
      </w:hyperlink>
      <w:r w:rsidRPr="0071238D">
        <w:rPr>
          <w:rFonts w:ascii="Source Sans Pro" w:hAnsi="Source Sans Pro"/>
          <w:color w:val="0563C1"/>
          <w:sz w:val="24"/>
          <w:szCs w:val="24"/>
        </w:rPr>
        <w:t xml:space="preserve"> </w:t>
      </w:r>
      <w:r w:rsidRPr="0071238D">
        <w:rPr>
          <w:rFonts w:ascii="Source Sans Pro" w:hAnsi="Source Sans Pro"/>
          <w:sz w:val="24"/>
          <w:szCs w:val="24"/>
        </w:rPr>
        <w:t>dashboard is used to create disproportionate impact analyses for Vision for Success and Student Equity &amp; Achievement (SEA) goal</w:t>
      </w:r>
      <w:r w:rsidRPr="0071238D">
        <w:rPr>
          <w:rFonts w:ascii="Cambria Math" w:hAnsi="Cambria Math" w:cs="Cambria Math"/>
          <w:sz w:val="24"/>
          <w:szCs w:val="24"/>
        </w:rPr>
        <w:t>‐</w:t>
      </w:r>
      <w:r w:rsidRPr="0071238D">
        <w:rPr>
          <w:rFonts w:ascii="Source Sans Pro" w:hAnsi="Source Sans Pro"/>
          <w:sz w:val="24"/>
          <w:szCs w:val="24"/>
        </w:rPr>
        <w:t xml:space="preserve">setting, which is then posted on the </w:t>
      </w:r>
      <w:hyperlink r:id="rId33" w:history="1">
        <w:r w:rsidR="5ACE8BBF" w:rsidRPr="5ACE8BBF">
          <w:rPr>
            <w:rStyle w:val="Hyperlink"/>
            <w:rFonts w:ascii="Source Sans Pro" w:hAnsi="Source Sans Pro"/>
            <w:sz w:val="24"/>
            <w:szCs w:val="24"/>
          </w:rPr>
          <w:t>NOVA</w:t>
        </w:r>
      </w:hyperlink>
      <w:r w:rsidRPr="0071238D">
        <w:rPr>
          <w:rFonts w:ascii="Source Sans Pro" w:hAnsi="Source Sans Pro"/>
          <w:color w:val="0563C1"/>
          <w:sz w:val="24"/>
          <w:szCs w:val="24"/>
        </w:rPr>
        <w:t xml:space="preserve"> </w:t>
      </w:r>
      <w:r w:rsidRPr="0071238D">
        <w:rPr>
          <w:rFonts w:ascii="Source Sans Pro" w:hAnsi="Source Sans Pro"/>
          <w:sz w:val="24"/>
          <w:szCs w:val="24"/>
        </w:rPr>
        <w:t xml:space="preserve">platform. In 2020-21, a first-time cohort view </w:t>
      </w:r>
      <w:r w:rsidR="00051B74">
        <w:rPr>
          <w:rFonts w:ascii="Source Sans Pro" w:hAnsi="Source Sans Pro"/>
          <w:sz w:val="24"/>
          <w:szCs w:val="24"/>
        </w:rPr>
        <w:t xml:space="preserve">with three, four and six year timeframes </w:t>
      </w:r>
      <w:r w:rsidRPr="0071238D">
        <w:rPr>
          <w:rFonts w:ascii="Source Sans Pro" w:hAnsi="Source Sans Pro"/>
          <w:sz w:val="24"/>
          <w:szCs w:val="24"/>
        </w:rPr>
        <w:t xml:space="preserve">will be added to the Student Success Metrics dashboard for nearly all metrics included in Vision for Success and SEA along with the secondary disaggregation by gender as required in the SEA legislation. Colleges will have an opportunity to review their cohort data during the 2021 calendar year providing feedback to </w:t>
      </w:r>
      <w:hyperlink r:id="rId34" w:history="1">
        <w:r w:rsidR="5ACE8BBF" w:rsidRPr="5ACE8BBF">
          <w:rPr>
            <w:rStyle w:val="Hyperlink"/>
            <w:rFonts w:ascii="Source Sans Pro" w:hAnsi="Source Sans Pro"/>
            <w:sz w:val="24"/>
            <w:szCs w:val="24"/>
          </w:rPr>
          <w:t>launchboard@cccco.edu</w:t>
        </w:r>
      </w:hyperlink>
      <w:r w:rsidR="5ACE8BBF" w:rsidRPr="5ACE8BBF">
        <w:rPr>
          <w:rStyle w:val="Hyperlink"/>
          <w:rFonts w:ascii="Source Sans Pro" w:hAnsi="Source Sans Pro"/>
          <w:sz w:val="24"/>
          <w:szCs w:val="24"/>
        </w:rPr>
        <w:t>.</w:t>
      </w:r>
      <w:r w:rsidR="00051B74" w:rsidRPr="00051B74">
        <w:rPr>
          <w:rStyle w:val="Hyperlink"/>
          <w:rFonts w:ascii="Source Sans Pro" w:hAnsi="Source Sans Pro"/>
          <w:sz w:val="24"/>
          <w:szCs w:val="24"/>
          <w:u w:val="none"/>
        </w:rPr>
        <w:t xml:space="preserve"> </w:t>
      </w:r>
      <w:r w:rsidR="5ACE8BBF" w:rsidRPr="00051B74">
        <w:rPr>
          <w:rStyle w:val="Hyperlink"/>
          <w:rFonts w:ascii="Source Sans Pro" w:hAnsi="Source Sans Pro"/>
          <w:sz w:val="24"/>
          <w:szCs w:val="24"/>
          <w:u w:val="none"/>
        </w:rPr>
        <w:t xml:space="preserve"> </w:t>
      </w:r>
      <w:r w:rsidR="5ACE8BBF" w:rsidRPr="00051B74">
        <w:rPr>
          <w:rStyle w:val="Hyperlink"/>
          <w:rFonts w:ascii="Source Sans Pro" w:hAnsi="Source Sans Pro"/>
          <w:color w:val="auto"/>
          <w:sz w:val="24"/>
          <w:szCs w:val="24"/>
          <w:u w:val="none"/>
        </w:rPr>
        <w:t xml:space="preserve">As of </w:t>
      </w:r>
      <w:r w:rsidR="00051B74">
        <w:rPr>
          <w:rStyle w:val="Hyperlink"/>
          <w:rFonts w:ascii="Source Sans Pro" w:hAnsi="Source Sans Pro"/>
          <w:color w:val="auto"/>
          <w:sz w:val="24"/>
          <w:szCs w:val="24"/>
          <w:u w:val="none"/>
        </w:rPr>
        <w:t>March</w:t>
      </w:r>
      <w:r w:rsidR="5ACE8BBF" w:rsidRPr="00051B74">
        <w:rPr>
          <w:rStyle w:val="Hyperlink"/>
          <w:rFonts w:ascii="Source Sans Pro" w:hAnsi="Source Sans Pro"/>
          <w:color w:val="auto"/>
          <w:sz w:val="24"/>
          <w:szCs w:val="24"/>
          <w:u w:val="none"/>
        </w:rPr>
        <w:t xml:space="preserve"> 2021, the Chancellor’s Office is still deciding when exactly the unFERPA suppressed data would be made availab</w:t>
      </w:r>
      <w:r w:rsidR="00051B74">
        <w:rPr>
          <w:rStyle w:val="Hyperlink"/>
          <w:rFonts w:ascii="Source Sans Pro" w:hAnsi="Source Sans Pro"/>
          <w:color w:val="auto"/>
          <w:sz w:val="24"/>
          <w:szCs w:val="24"/>
          <w:u w:val="none"/>
        </w:rPr>
        <w:t>l</w:t>
      </w:r>
      <w:r w:rsidR="5ACE8BBF" w:rsidRPr="00051B74">
        <w:rPr>
          <w:rStyle w:val="Hyperlink"/>
          <w:rFonts w:ascii="Source Sans Pro" w:hAnsi="Source Sans Pro"/>
          <w:color w:val="auto"/>
          <w:sz w:val="24"/>
          <w:szCs w:val="24"/>
          <w:u w:val="none"/>
        </w:rPr>
        <w:t>e to colleges through data on demand and possibly into the NOVA platform</w:t>
      </w:r>
      <w:r w:rsidR="00051B74">
        <w:rPr>
          <w:rStyle w:val="Hyperlink"/>
          <w:rFonts w:ascii="Source Sans Pro" w:hAnsi="Source Sans Pro"/>
          <w:color w:val="auto"/>
          <w:sz w:val="24"/>
          <w:szCs w:val="24"/>
          <w:u w:val="none"/>
        </w:rPr>
        <w:t>.</w:t>
      </w:r>
    </w:p>
    <w:p w14:paraId="109A31EA" w14:textId="77777777" w:rsidR="001E1EE5" w:rsidRPr="0071238D" w:rsidRDefault="001E1EE5" w:rsidP="001E1EE5">
      <w:pPr>
        <w:pStyle w:val="Heading2"/>
      </w:pPr>
      <w:r w:rsidRPr="0071238D">
        <w:t>Accountability</w:t>
      </w:r>
    </w:p>
    <w:p w14:paraId="2922F724" w14:textId="2EEEBD8D" w:rsidR="00210396" w:rsidRDefault="00210396" w:rsidP="00210396">
      <w:pPr>
        <w:pStyle w:val="BodyText"/>
        <w:spacing w:before="0" w:after="160" w:line="259" w:lineRule="auto"/>
        <w:ind w:left="0" w:right="115"/>
        <w:rPr>
          <w:rFonts w:ascii="Source Sans Pro" w:hAnsi="Source Sans Pro"/>
          <w:sz w:val="24"/>
          <w:szCs w:val="24"/>
        </w:rPr>
      </w:pPr>
      <w:r>
        <w:rPr>
          <w:rFonts w:ascii="Source Sans Pro" w:hAnsi="Source Sans Pro"/>
          <w:sz w:val="24"/>
          <w:szCs w:val="24"/>
        </w:rPr>
        <w:t xml:space="preserve">As part of the 2019-20 builds of the dashboards, most metric definitions were aligned across dashboards </w:t>
      </w:r>
      <w:r w:rsidR="00AF531C">
        <w:rPr>
          <w:rFonts w:ascii="Source Sans Pro" w:hAnsi="Source Sans Pro"/>
          <w:sz w:val="24"/>
          <w:szCs w:val="24"/>
        </w:rPr>
        <w:t xml:space="preserve">and other Chancellor’s Office resources </w:t>
      </w:r>
      <w:r>
        <w:rPr>
          <w:rFonts w:ascii="Source Sans Pro" w:hAnsi="Source Sans Pro"/>
          <w:sz w:val="24"/>
          <w:szCs w:val="24"/>
        </w:rPr>
        <w:t>wherever possible</w:t>
      </w:r>
      <w:r w:rsidR="00AF531C">
        <w:rPr>
          <w:rFonts w:ascii="Source Sans Pro" w:hAnsi="Source Sans Pro"/>
          <w:sz w:val="24"/>
          <w:szCs w:val="24"/>
        </w:rPr>
        <w:t xml:space="preserve"> or as directed by the Chancellor’s Office.</w:t>
      </w:r>
    </w:p>
    <w:p w14:paraId="0679966F" w14:textId="44B68541" w:rsidR="001E1EE5" w:rsidRPr="0071238D" w:rsidRDefault="001E1EE5" w:rsidP="005E2273">
      <w:pPr>
        <w:pStyle w:val="BodyText"/>
        <w:spacing w:before="25" w:line="259" w:lineRule="auto"/>
        <w:ind w:left="0" w:right="119"/>
        <w:rPr>
          <w:rFonts w:ascii="Source Sans Pro" w:hAnsi="Source Sans Pro"/>
          <w:sz w:val="24"/>
          <w:szCs w:val="24"/>
        </w:rPr>
      </w:pPr>
      <w:r w:rsidRPr="0071238D">
        <w:rPr>
          <w:rFonts w:ascii="Source Sans Pro" w:hAnsi="Source Sans Pro"/>
          <w:sz w:val="24"/>
          <w:szCs w:val="24"/>
        </w:rPr>
        <w:t xml:space="preserve">The </w:t>
      </w:r>
      <w:hyperlink r:id="rId35" w:history="1">
        <w:r w:rsidRPr="00AD42D9">
          <w:rPr>
            <w:rStyle w:val="Hyperlink"/>
            <w:rFonts w:ascii="Source Sans Pro" w:hAnsi="Source Sans Pro"/>
            <w:sz w:val="24"/>
            <w:szCs w:val="24"/>
          </w:rPr>
          <w:t>Student Success Metrics</w:t>
        </w:r>
      </w:hyperlink>
      <w:r w:rsidRPr="0071238D">
        <w:rPr>
          <w:rFonts w:ascii="Source Sans Pro" w:hAnsi="Source Sans Pro"/>
          <w:color w:val="0563C1"/>
          <w:sz w:val="24"/>
          <w:szCs w:val="24"/>
        </w:rPr>
        <w:t xml:space="preserve"> </w:t>
      </w:r>
      <w:r w:rsidR="00E02201" w:rsidRPr="00E02201">
        <w:rPr>
          <w:rFonts w:ascii="Source Sans Pro" w:hAnsi="Source Sans Pro"/>
          <w:sz w:val="24"/>
          <w:szCs w:val="24"/>
        </w:rPr>
        <w:t xml:space="preserve">dashboard </w:t>
      </w:r>
      <w:r w:rsidRPr="0071238D">
        <w:rPr>
          <w:rFonts w:ascii="Source Sans Pro" w:hAnsi="Source Sans Pro"/>
          <w:sz w:val="24"/>
          <w:szCs w:val="24"/>
        </w:rPr>
        <w:t>follows student progression along various educational journeys, from recruitment to completion, transfer, and the workforce. Metrics are displayed at the state, region</w:t>
      </w:r>
      <w:r w:rsidR="005465E8">
        <w:rPr>
          <w:rFonts w:ascii="Source Sans Pro" w:hAnsi="Source Sans Pro"/>
          <w:sz w:val="24"/>
          <w:szCs w:val="24"/>
        </w:rPr>
        <w:t>al</w:t>
      </w:r>
      <w:r w:rsidRPr="0071238D">
        <w:rPr>
          <w:rFonts w:ascii="Source Sans Pro" w:hAnsi="Source Sans Pro"/>
          <w:sz w:val="24"/>
          <w:szCs w:val="24"/>
        </w:rPr>
        <w:t>, district, and college level</w:t>
      </w:r>
      <w:r w:rsidR="005465E8">
        <w:rPr>
          <w:rFonts w:ascii="Source Sans Pro" w:hAnsi="Source Sans Pro"/>
          <w:sz w:val="24"/>
          <w:szCs w:val="24"/>
        </w:rPr>
        <w:t>s</w:t>
      </w:r>
      <w:r w:rsidRPr="0071238D">
        <w:rPr>
          <w:rFonts w:ascii="Source Sans Pro" w:hAnsi="Source Sans Pro"/>
          <w:sz w:val="24"/>
          <w:szCs w:val="24"/>
        </w:rPr>
        <w:t>.</w:t>
      </w:r>
    </w:p>
    <w:p w14:paraId="018CCB30" w14:textId="6372D210" w:rsidR="001E1EE5" w:rsidRPr="0071238D" w:rsidRDefault="001E1EE5" w:rsidP="001E1EE5">
      <w:pPr>
        <w:pStyle w:val="BodyText"/>
        <w:spacing w:before="160" w:line="259" w:lineRule="auto"/>
        <w:ind w:left="0"/>
        <w:rPr>
          <w:rFonts w:ascii="Source Sans Pro" w:hAnsi="Source Sans Pro"/>
          <w:sz w:val="24"/>
          <w:szCs w:val="24"/>
        </w:rPr>
      </w:pPr>
      <w:r w:rsidRPr="0071238D">
        <w:rPr>
          <w:rFonts w:ascii="Source Sans Pro" w:hAnsi="Source Sans Pro"/>
          <w:sz w:val="24"/>
          <w:szCs w:val="24"/>
        </w:rPr>
        <w:t xml:space="preserve">The first tile on the </w:t>
      </w:r>
      <w:hyperlink r:id="rId36" w:history="1">
        <w:r w:rsidR="00AD42D9" w:rsidRPr="00AD42D9">
          <w:rPr>
            <w:rStyle w:val="Hyperlink"/>
            <w:rFonts w:ascii="Source Sans Pro" w:hAnsi="Source Sans Pro"/>
            <w:sz w:val="24"/>
            <w:szCs w:val="24"/>
          </w:rPr>
          <w:t>Adult Education Pipeline</w:t>
        </w:r>
      </w:hyperlink>
      <w:r w:rsidRPr="0071238D">
        <w:rPr>
          <w:rFonts w:ascii="Source Sans Pro" w:hAnsi="Source Sans Pro"/>
          <w:sz w:val="24"/>
          <w:szCs w:val="24"/>
        </w:rPr>
        <w:t xml:space="preserve">—the Adult Education Program Score Card—displays the volume of individuals served in K12 adult schools and community colleges, as well as their progress, success, and employment data. </w:t>
      </w:r>
      <w:r w:rsidR="005465E8">
        <w:rPr>
          <w:rFonts w:ascii="Source Sans Pro" w:hAnsi="Source Sans Pro"/>
          <w:sz w:val="24"/>
          <w:szCs w:val="24"/>
        </w:rPr>
        <w:t xml:space="preserve">Student data from TOPSPro Enterprise and </w:t>
      </w:r>
      <w:r w:rsidR="006338C0">
        <w:rPr>
          <w:rFonts w:ascii="Source Sans Pro" w:hAnsi="Source Sans Pro"/>
          <w:sz w:val="24"/>
          <w:szCs w:val="24"/>
        </w:rPr>
        <w:t>COMIS are</w:t>
      </w:r>
      <w:r w:rsidR="005465E8">
        <w:rPr>
          <w:rFonts w:ascii="Source Sans Pro" w:hAnsi="Source Sans Pro"/>
          <w:sz w:val="24"/>
          <w:szCs w:val="24"/>
        </w:rPr>
        <w:t xml:space="preserve"> combined for display</w:t>
      </w:r>
      <w:r w:rsidR="006338C0">
        <w:rPr>
          <w:rFonts w:ascii="Source Sans Pro" w:hAnsi="Source Sans Pro"/>
          <w:sz w:val="24"/>
          <w:szCs w:val="24"/>
        </w:rPr>
        <w:t xml:space="preserve"> on the dashboard</w:t>
      </w:r>
      <w:r w:rsidR="005465E8">
        <w:rPr>
          <w:rFonts w:ascii="Source Sans Pro" w:hAnsi="Source Sans Pro"/>
          <w:sz w:val="24"/>
          <w:szCs w:val="24"/>
        </w:rPr>
        <w:t xml:space="preserve">. </w:t>
      </w:r>
      <w:r w:rsidRPr="0071238D">
        <w:rPr>
          <w:rFonts w:ascii="Source Sans Pro" w:hAnsi="Source Sans Pro"/>
          <w:sz w:val="24"/>
          <w:szCs w:val="24"/>
        </w:rPr>
        <w:t>All data is displayed at the state</w:t>
      </w:r>
      <w:r w:rsidR="005465E8">
        <w:rPr>
          <w:rFonts w:ascii="Source Sans Pro" w:hAnsi="Source Sans Pro"/>
          <w:sz w:val="24"/>
          <w:szCs w:val="24"/>
        </w:rPr>
        <w:t xml:space="preserve">, regional, </w:t>
      </w:r>
      <w:r w:rsidRPr="0071238D">
        <w:rPr>
          <w:rFonts w:ascii="Source Sans Pro" w:hAnsi="Source Sans Pro"/>
          <w:sz w:val="24"/>
          <w:szCs w:val="24"/>
        </w:rPr>
        <w:t>consortia</w:t>
      </w:r>
      <w:r w:rsidR="005465E8">
        <w:rPr>
          <w:rFonts w:ascii="Cambria Math" w:hAnsi="Cambria Math" w:cs="Cambria Math"/>
          <w:sz w:val="24"/>
          <w:szCs w:val="24"/>
        </w:rPr>
        <w:t xml:space="preserve">, </w:t>
      </w:r>
      <w:r w:rsidR="005465E8" w:rsidRPr="005465E8">
        <w:rPr>
          <w:rFonts w:ascii="Source Sans Pro" w:hAnsi="Source Sans Pro" w:cs="Cambria Math"/>
          <w:sz w:val="24"/>
          <w:szCs w:val="24"/>
        </w:rPr>
        <w:t xml:space="preserve">community college district and </w:t>
      </w:r>
      <w:r w:rsidR="005465E8">
        <w:rPr>
          <w:rFonts w:ascii="Source Sans Pro" w:hAnsi="Source Sans Pro" w:cs="Cambria Math"/>
          <w:sz w:val="24"/>
          <w:szCs w:val="24"/>
        </w:rPr>
        <w:t>institutional</w:t>
      </w:r>
      <w:r w:rsidR="005465E8" w:rsidRPr="005465E8">
        <w:rPr>
          <w:rFonts w:ascii="Source Sans Pro" w:hAnsi="Source Sans Pro" w:cs="Cambria Math"/>
          <w:sz w:val="24"/>
          <w:szCs w:val="24"/>
        </w:rPr>
        <w:t xml:space="preserve"> levels.</w:t>
      </w:r>
    </w:p>
    <w:p w14:paraId="5167AC6C" w14:textId="71AF38A8" w:rsidR="00263D2D" w:rsidRDefault="001E1EE5" w:rsidP="00D86C20">
      <w:pPr>
        <w:pStyle w:val="BodyText"/>
        <w:spacing w:line="259" w:lineRule="auto"/>
        <w:ind w:left="0" w:right="675"/>
        <w:rPr>
          <w:rFonts w:ascii="Source Sans Pro" w:hAnsi="Source Sans Pro"/>
          <w:sz w:val="24"/>
          <w:szCs w:val="24"/>
        </w:rPr>
      </w:pPr>
      <w:r w:rsidRPr="0071238D">
        <w:rPr>
          <w:rFonts w:ascii="Source Sans Pro" w:hAnsi="Source Sans Pro"/>
          <w:sz w:val="24"/>
          <w:szCs w:val="24"/>
        </w:rPr>
        <w:t xml:space="preserve">The </w:t>
      </w:r>
      <w:hyperlink r:id="rId37" w:history="1">
        <w:r w:rsidRPr="00AD42D9">
          <w:rPr>
            <w:rStyle w:val="Hyperlink"/>
            <w:rFonts w:ascii="Source Sans Pro" w:hAnsi="Source Sans Pro"/>
            <w:sz w:val="24"/>
            <w:szCs w:val="24"/>
          </w:rPr>
          <w:t>Strong Workforce Program</w:t>
        </w:r>
      </w:hyperlink>
      <w:r w:rsidRPr="0071238D">
        <w:rPr>
          <w:rFonts w:ascii="Source Sans Pro" w:hAnsi="Source Sans Pro"/>
          <w:sz w:val="24"/>
          <w:szCs w:val="24"/>
        </w:rPr>
        <w:t xml:space="preserve"> </w:t>
      </w:r>
      <w:r w:rsidR="00E02201">
        <w:rPr>
          <w:rFonts w:ascii="Source Sans Pro" w:hAnsi="Source Sans Pro"/>
          <w:sz w:val="24"/>
          <w:szCs w:val="24"/>
        </w:rPr>
        <w:t>dashboard c</w:t>
      </w:r>
      <w:r w:rsidRPr="0071238D">
        <w:rPr>
          <w:rFonts w:ascii="Source Sans Pro" w:hAnsi="Source Sans Pro"/>
          <w:sz w:val="24"/>
          <w:szCs w:val="24"/>
        </w:rPr>
        <w:t>ontains workforce program data on student progress, success, and employment</w:t>
      </w:r>
      <w:r w:rsidR="00284790">
        <w:rPr>
          <w:rFonts w:ascii="Source Sans Pro" w:hAnsi="Source Sans Pro"/>
          <w:sz w:val="24"/>
          <w:szCs w:val="24"/>
        </w:rPr>
        <w:t xml:space="preserve"> in CTE programs</w:t>
      </w:r>
      <w:r w:rsidRPr="0071238D">
        <w:rPr>
          <w:rFonts w:ascii="Source Sans Pro" w:hAnsi="Source Sans Pro"/>
          <w:sz w:val="24"/>
          <w:szCs w:val="24"/>
        </w:rPr>
        <w:t xml:space="preserve">. All data is displayed at the state, regional, </w:t>
      </w:r>
      <w:r w:rsidR="005465E8">
        <w:rPr>
          <w:rFonts w:ascii="Source Sans Pro" w:hAnsi="Source Sans Pro"/>
          <w:sz w:val="24"/>
          <w:szCs w:val="24"/>
        </w:rPr>
        <w:t xml:space="preserve">district college, sector </w:t>
      </w:r>
      <w:r w:rsidRPr="0071238D">
        <w:rPr>
          <w:rFonts w:ascii="Source Sans Pro" w:hAnsi="Source Sans Pro"/>
          <w:sz w:val="24"/>
          <w:szCs w:val="24"/>
        </w:rPr>
        <w:t>and program</w:t>
      </w:r>
      <w:r w:rsidR="005465E8">
        <w:rPr>
          <w:rFonts w:ascii="Cambria Math" w:hAnsi="Cambria Math" w:cs="Cambria Math"/>
          <w:sz w:val="24"/>
          <w:szCs w:val="24"/>
        </w:rPr>
        <w:t xml:space="preserve"> </w:t>
      </w:r>
      <w:r w:rsidRPr="0071238D">
        <w:rPr>
          <w:rFonts w:ascii="Source Sans Pro" w:hAnsi="Source Sans Pro"/>
          <w:sz w:val="24"/>
          <w:szCs w:val="24"/>
        </w:rPr>
        <w:t>lev</w:t>
      </w:r>
      <w:r w:rsidR="00D86C20">
        <w:rPr>
          <w:rFonts w:ascii="Source Sans Pro" w:hAnsi="Source Sans Pro"/>
          <w:sz w:val="24"/>
          <w:szCs w:val="24"/>
        </w:rPr>
        <w:t>el</w:t>
      </w:r>
      <w:r w:rsidR="005465E8">
        <w:rPr>
          <w:rFonts w:ascii="Source Sans Pro" w:hAnsi="Source Sans Pro"/>
          <w:sz w:val="24"/>
          <w:szCs w:val="24"/>
        </w:rPr>
        <w:t>s.</w:t>
      </w:r>
    </w:p>
    <w:p w14:paraId="6FAC7015" w14:textId="57E0A30D" w:rsidR="0012695B" w:rsidRPr="0071238D" w:rsidRDefault="0012695B" w:rsidP="00D86C20">
      <w:pPr>
        <w:pStyle w:val="BodyText"/>
        <w:spacing w:line="259" w:lineRule="auto"/>
        <w:ind w:left="0" w:right="675"/>
        <w:rPr>
          <w:rFonts w:ascii="Source Sans Pro" w:hAnsi="Source Sans Pro"/>
          <w:sz w:val="24"/>
          <w:szCs w:val="24"/>
        </w:rPr>
      </w:pPr>
      <w:r>
        <w:rPr>
          <w:rFonts w:ascii="Source Sans Pro" w:hAnsi="Source Sans Pro"/>
          <w:sz w:val="24"/>
          <w:szCs w:val="24"/>
        </w:rPr>
        <w:t xml:space="preserve">The </w:t>
      </w:r>
      <w:hyperlink r:id="rId38" w:history="1">
        <w:r w:rsidRPr="00EF23D5">
          <w:rPr>
            <w:rStyle w:val="Hyperlink"/>
            <w:rFonts w:ascii="Source Sans Pro" w:hAnsi="Source Sans Pro"/>
            <w:sz w:val="24"/>
            <w:szCs w:val="24"/>
          </w:rPr>
          <w:t>Guided Pathways</w:t>
        </w:r>
      </w:hyperlink>
      <w:r>
        <w:rPr>
          <w:rFonts w:ascii="Source Sans Pro" w:hAnsi="Source Sans Pro"/>
          <w:sz w:val="24"/>
          <w:szCs w:val="24"/>
        </w:rPr>
        <w:t xml:space="preserve"> dashboard </w:t>
      </w:r>
      <w:r w:rsidR="00EF23D5" w:rsidRPr="00EF23D5">
        <w:rPr>
          <w:rFonts w:ascii="Source Sans Pro" w:hAnsi="Source Sans Pro"/>
          <w:sz w:val="24"/>
          <w:szCs w:val="24"/>
        </w:rPr>
        <w:t xml:space="preserve">provides a cohort view of first-time student progress </w:t>
      </w:r>
      <w:r w:rsidR="00EF23D5">
        <w:rPr>
          <w:rFonts w:ascii="Source Sans Pro" w:hAnsi="Source Sans Pro"/>
          <w:sz w:val="24"/>
          <w:szCs w:val="24"/>
        </w:rPr>
        <w:t>towards</w:t>
      </w:r>
      <w:r w:rsidR="00EF23D5" w:rsidRPr="00EF23D5">
        <w:rPr>
          <w:rFonts w:ascii="Source Sans Pro" w:hAnsi="Source Sans Pro"/>
          <w:sz w:val="24"/>
          <w:szCs w:val="24"/>
        </w:rPr>
        <w:t xml:space="preserve"> first-year momentum points for evaluating college redesign efforts</w:t>
      </w:r>
      <w:r w:rsidR="00EF23D5">
        <w:rPr>
          <w:rFonts w:ascii="Source Sans Pro" w:hAnsi="Source Sans Pro"/>
          <w:sz w:val="24"/>
          <w:szCs w:val="24"/>
        </w:rPr>
        <w:t xml:space="preserve">. </w:t>
      </w:r>
      <w:r w:rsidR="00EF23D5" w:rsidRPr="0071238D">
        <w:rPr>
          <w:rFonts w:ascii="Source Sans Pro" w:hAnsi="Source Sans Pro"/>
          <w:sz w:val="24"/>
          <w:szCs w:val="24"/>
        </w:rPr>
        <w:t xml:space="preserve">All data is displayed at the state, regional, </w:t>
      </w:r>
      <w:r w:rsidR="00EF23D5">
        <w:rPr>
          <w:rFonts w:ascii="Source Sans Pro" w:hAnsi="Source Sans Pro"/>
          <w:sz w:val="24"/>
          <w:szCs w:val="24"/>
        </w:rPr>
        <w:t>district</w:t>
      </w:r>
      <w:r w:rsidR="00C25E76">
        <w:rPr>
          <w:rFonts w:ascii="Source Sans Pro" w:hAnsi="Source Sans Pro"/>
          <w:sz w:val="24"/>
          <w:szCs w:val="24"/>
        </w:rPr>
        <w:t xml:space="preserve"> and</w:t>
      </w:r>
      <w:r w:rsidR="00EF23D5">
        <w:rPr>
          <w:rFonts w:ascii="Source Sans Pro" w:hAnsi="Source Sans Pro"/>
          <w:sz w:val="24"/>
          <w:szCs w:val="24"/>
        </w:rPr>
        <w:t xml:space="preserve"> colleg</w:t>
      </w:r>
      <w:r w:rsidR="00C25E76">
        <w:rPr>
          <w:rFonts w:ascii="Source Sans Pro" w:hAnsi="Source Sans Pro"/>
          <w:sz w:val="24"/>
          <w:szCs w:val="24"/>
        </w:rPr>
        <w:t>e</w:t>
      </w:r>
      <w:r w:rsidR="00EF23D5">
        <w:rPr>
          <w:rFonts w:ascii="Cambria Math" w:hAnsi="Cambria Math" w:cs="Cambria Math"/>
          <w:sz w:val="24"/>
          <w:szCs w:val="24"/>
        </w:rPr>
        <w:t xml:space="preserve"> </w:t>
      </w:r>
      <w:r w:rsidR="00EF23D5" w:rsidRPr="0071238D">
        <w:rPr>
          <w:rFonts w:ascii="Source Sans Pro" w:hAnsi="Source Sans Pro"/>
          <w:sz w:val="24"/>
          <w:szCs w:val="24"/>
        </w:rPr>
        <w:t>lev</w:t>
      </w:r>
      <w:r w:rsidR="00EF23D5">
        <w:rPr>
          <w:rFonts w:ascii="Source Sans Pro" w:hAnsi="Source Sans Pro"/>
          <w:sz w:val="24"/>
          <w:szCs w:val="24"/>
        </w:rPr>
        <w:t>els.</w:t>
      </w:r>
    </w:p>
    <w:sectPr w:rsidR="0012695B" w:rsidRPr="0071238D" w:rsidSect="005E2273">
      <w:headerReference w:type="default" r:id="rId39"/>
      <w:footerReference w:type="default" r:id="rId4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F57AE8" w14:textId="77777777" w:rsidR="00E54900" w:rsidRDefault="00E54900" w:rsidP="0071238D">
      <w:r>
        <w:separator/>
      </w:r>
    </w:p>
  </w:endnote>
  <w:endnote w:type="continuationSeparator" w:id="0">
    <w:p w14:paraId="4A69B285" w14:textId="77777777" w:rsidR="00E54900" w:rsidRDefault="00E54900" w:rsidP="00712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ource Sans Pro">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rimson">
    <w:altName w:val="Cambria"/>
    <w:panose1 w:val="00000000000000000000"/>
    <w:charset w:val="00"/>
    <w:family w:val="modern"/>
    <w:notTrueType/>
    <w:pitch w:val="variable"/>
    <w:sig w:usb0="E00002EF" w:usb1="0000006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07FC30" w14:textId="341190D1" w:rsidR="00982FC4" w:rsidRPr="00982FC4" w:rsidRDefault="00982FC4" w:rsidP="00982FC4">
    <w:pPr>
      <w:pStyle w:val="Footer"/>
      <w:ind w:right="360"/>
      <w:rPr>
        <w:b/>
        <w:bCs/>
      </w:rPr>
    </w:pPr>
    <w:r>
      <w:rPr>
        <w:bCs/>
      </w:rPr>
      <w:t>In partnership with WestEd</w:t>
    </w:r>
    <w:r w:rsidRPr="0004171D">
      <w:rPr>
        <w:bCs/>
      </w:rPr>
      <w:ptab w:relativeTo="margin" w:alignment="center" w:leader="none"/>
    </w:r>
    <w:r w:rsidRPr="0004171D">
      <w:rPr>
        <w:bCs/>
      </w:rPr>
      <w:ptab w:relativeTo="margin" w:alignment="right" w:leader="none"/>
    </w:r>
    <w:r w:rsidRPr="00EA1C5B">
      <w:rPr>
        <w:b/>
        <w:bCs/>
      </w:rPr>
      <w:fldChar w:fldCharType="begin"/>
    </w:r>
    <w:r w:rsidRPr="00EA1C5B">
      <w:rPr>
        <w:bCs/>
      </w:rPr>
      <w:instrText xml:space="preserve"> PAGE   \* MERGEFORMAT </w:instrText>
    </w:r>
    <w:r w:rsidRPr="00EA1C5B">
      <w:rPr>
        <w:b/>
        <w:bCs/>
      </w:rPr>
      <w:fldChar w:fldCharType="separate"/>
    </w:r>
    <w:r>
      <w:rPr>
        <w:b/>
        <w:bCs/>
      </w:rPr>
      <w:t>1</w:t>
    </w:r>
    <w:r w:rsidRPr="00EA1C5B">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920631" w14:textId="77777777" w:rsidR="00E54900" w:rsidRDefault="00E54900" w:rsidP="0071238D">
      <w:r>
        <w:separator/>
      </w:r>
    </w:p>
  </w:footnote>
  <w:footnote w:type="continuationSeparator" w:id="0">
    <w:p w14:paraId="7B9F7637" w14:textId="77777777" w:rsidR="00E54900" w:rsidRDefault="00E54900" w:rsidP="007123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F83A8" w14:textId="51A5761E" w:rsidR="0071238D" w:rsidRDefault="0071238D">
    <w:pPr>
      <w:pStyle w:val="Header"/>
    </w:pPr>
    <w:r>
      <w:rPr>
        <w:noProof/>
      </w:rPr>
      <w:drawing>
        <wp:inline distT="0" distB="0" distL="0" distR="0" wp14:anchorId="53B13B62" wp14:editId="513FFA50">
          <wp:extent cx="3304869" cy="406400"/>
          <wp:effectExtent l="0" t="0" r="0" b="0"/>
          <wp:docPr id="3" name="Graphic 3" descr="California Community Colleg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c-logo-hfull-2c.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3371158" cy="41455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D2D"/>
    <w:rsid w:val="00051B74"/>
    <w:rsid w:val="000F2C8D"/>
    <w:rsid w:val="0012695B"/>
    <w:rsid w:val="001E1EE5"/>
    <w:rsid w:val="00210396"/>
    <w:rsid w:val="00241E68"/>
    <w:rsid w:val="00263D2D"/>
    <w:rsid w:val="00284790"/>
    <w:rsid w:val="00315CF7"/>
    <w:rsid w:val="003D425E"/>
    <w:rsid w:val="0046625F"/>
    <w:rsid w:val="005465E8"/>
    <w:rsid w:val="00576186"/>
    <w:rsid w:val="005E2273"/>
    <w:rsid w:val="006338C0"/>
    <w:rsid w:val="0071238D"/>
    <w:rsid w:val="008118D6"/>
    <w:rsid w:val="008B4B94"/>
    <w:rsid w:val="008F5870"/>
    <w:rsid w:val="00982FC4"/>
    <w:rsid w:val="00A741EE"/>
    <w:rsid w:val="00AC2760"/>
    <w:rsid w:val="00AD37EC"/>
    <w:rsid w:val="00AD42D9"/>
    <w:rsid w:val="00AF531C"/>
    <w:rsid w:val="00BA6C21"/>
    <w:rsid w:val="00BB4F8F"/>
    <w:rsid w:val="00C25E76"/>
    <w:rsid w:val="00C317D3"/>
    <w:rsid w:val="00CB5057"/>
    <w:rsid w:val="00D65AAF"/>
    <w:rsid w:val="00D67621"/>
    <w:rsid w:val="00D86C20"/>
    <w:rsid w:val="00E02201"/>
    <w:rsid w:val="00E30D48"/>
    <w:rsid w:val="00E54900"/>
    <w:rsid w:val="00E972A9"/>
    <w:rsid w:val="00EF23D5"/>
    <w:rsid w:val="00F8758F"/>
    <w:rsid w:val="5ACE8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058DD"/>
  <w15:docId w15:val="{1B9F9DB4-20FC-4330-87B4-5D9DCC26D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20"/>
      <w:outlineLvl w:val="0"/>
    </w:pPr>
    <w:rPr>
      <w:rFonts w:ascii="Calibri Light" w:eastAsia="Calibri Light" w:hAnsi="Calibri Light" w:cs="Calibri Light"/>
      <w:sz w:val="26"/>
      <w:szCs w:val="26"/>
    </w:rPr>
  </w:style>
  <w:style w:type="paragraph" w:styleId="Heading2">
    <w:name w:val="heading 2"/>
    <w:basedOn w:val="Normal"/>
    <w:next w:val="Normal"/>
    <w:link w:val="Heading2Char"/>
    <w:uiPriority w:val="9"/>
    <w:unhideWhenUsed/>
    <w:qFormat/>
    <w:rsid w:val="00AD42D9"/>
    <w:pPr>
      <w:keepNext/>
      <w:keepLines/>
      <w:spacing w:before="360" w:after="60"/>
      <w:outlineLvl w:val="1"/>
    </w:pPr>
    <w:rPr>
      <w:rFonts w:ascii="Source Sans Pro" w:eastAsiaTheme="majorEastAsia" w:hAnsi="Source Sans Pro" w:cstheme="majorBidi"/>
      <w:color w:val="365F91" w:themeColor="accent1" w:themeShade="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59"/>
      <w:ind w:left="120"/>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1238D"/>
    <w:pPr>
      <w:tabs>
        <w:tab w:val="center" w:pos="4680"/>
        <w:tab w:val="right" w:pos="9360"/>
      </w:tabs>
    </w:pPr>
  </w:style>
  <w:style w:type="character" w:customStyle="1" w:styleId="HeaderChar">
    <w:name w:val="Header Char"/>
    <w:basedOn w:val="DefaultParagraphFont"/>
    <w:link w:val="Header"/>
    <w:uiPriority w:val="99"/>
    <w:rsid w:val="0071238D"/>
    <w:rPr>
      <w:rFonts w:ascii="Calibri" w:eastAsia="Calibri" w:hAnsi="Calibri" w:cs="Calibri"/>
    </w:rPr>
  </w:style>
  <w:style w:type="paragraph" w:styleId="Footer">
    <w:name w:val="footer"/>
    <w:basedOn w:val="Normal"/>
    <w:link w:val="FooterChar"/>
    <w:uiPriority w:val="99"/>
    <w:unhideWhenUsed/>
    <w:qFormat/>
    <w:rsid w:val="0071238D"/>
    <w:pPr>
      <w:tabs>
        <w:tab w:val="center" w:pos="4680"/>
        <w:tab w:val="right" w:pos="9360"/>
      </w:tabs>
    </w:pPr>
  </w:style>
  <w:style w:type="character" w:customStyle="1" w:styleId="FooterChar">
    <w:name w:val="Footer Char"/>
    <w:basedOn w:val="DefaultParagraphFont"/>
    <w:link w:val="Footer"/>
    <w:uiPriority w:val="99"/>
    <w:rsid w:val="0071238D"/>
    <w:rPr>
      <w:rFonts w:ascii="Calibri" w:eastAsia="Calibri" w:hAnsi="Calibri" w:cs="Calibri"/>
    </w:rPr>
  </w:style>
  <w:style w:type="character" w:customStyle="1" w:styleId="Heading2Char">
    <w:name w:val="Heading 2 Char"/>
    <w:basedOn w:val="DefaultParagraphFont"/>
    <w:link w:val="Heading2"/>
    <w:uiPriority w:val="9"/>
    <w:rsid w:val="00AD42D9"/>
    <w:rPr>
      <w:rFonts w:ascii="Source Sans Pro" w:eastAsiaTheme="majorEastAsia" w:hAnsi="Source Sans Pro" w:cstheme="majorBidi"/>
      <w:color w:val="365F91" w:themeColor="accent1" w:themeShade="BF"/>
      <w:sz w:val="28"/>
      <w:szCs w:val="26"/>
    </w:rPr>
  </w:style>
  <w:style w:type="character" w:styleId="Hyperlink">
    <w:name w:val="Hyperlink"/>
    <w:basedOn w:val="DefaultParagraphFont"/>
    <w:uiPriority w:val="99"/>
    <w:unhideWhenUsed/>
    <w:rsid w:val="0071238D"/>
    <w:rPr>
      <w:color w:val="0000FF" w:themeColor="hyperlink"/>
      <w:u w:val="single"/>
    </w:rPr>
  </w:style>
  <w:style w:type="character" w:styleId="UnresolvedMention">
    <w:name w:val="Unresolved Mention"/>
    <w:basedOn w:val="DefaultParagraphFont"/>
    <w:uiPriority w:val="99"/>
    <w:semiHidden/>
    <w:unhideWhenUsed/>
    <w:rsid w:val="0071238D"/>
    <w:rPr>
      <w:color w:val="605E5C"/>
      <w:shd w:val="clear" w:color="auto" w:fill="E1DFDD"/>
    </w:rPr>
  </w:style>
  <w:style w:type="character" w:styleId="FollowedHyperlink">
    <w:name w:val="FollowedHyperlink"/>
    <w:basedOn w:val="DefaultParagraphFont"/>
    <w:uiPriority w:val="99"/>
    <w:semiHidden/>
    <w:unhideWhenUsed/>
    <w:rsid w:val="00AD42D9"/>
    <w:rPr>
      <w:color w:val="800080" w:themeColor="followedHyperlink"/>
      <w:u w:val="single"/>
    </w:rPr>
  </w:style>
  <w:style w:type="paragraph" w:styleId="BalloonText">
    <w:name w:val="Balloon Text"/>
    <w:basedOn w:val="Normal"/>
    <w:link w:val="BalloonTextChar"/>
    <w:uiPriority w:val="99"/>
    <w:semiHidden/>
    <w:unhideWhenUsed/>
    <w:rsid w:val="00BB4F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4F8F"/>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284790"/>
    <w:rPr>
      <w:sz w:val="16"/>
      <w:szCs w:val="16"/>
    </w:rPr>
  </w:style>
  <w:style w:type="paragraph" w:styleId="CommentText">
    <w:name w:val="annotation text"/>
    <w:basedOn w:val="Normal"/>
    <w:link w:val="CommentTextChar"/>
    <w:uiPriority w:val="99"/>
    <w:semiHidden/>
    <w:unhideWhenUsed/>
    <w:rsid w:val="00284790"/>
    <w:rPr>
      <w:sz w:val="20"/>
      <w:szCs w:val="20"/>
    </w:rPr>
  </w:style>
  <w:style w:type="character" w:customStyle="1" w:styleId="CommentTextChar">
    <w:name w:val="Comment Text Char"/>
    <w:basedOn w:val="DefaultParagraphFont"/>
    <w:link w:val="CommentText"/>
    <w:uiPriority w:val="99"/>
    <w:semiHidden/>
    <w:rsid w:val="00284790"/>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284790"/>
    <w:rPr>
      <w:b/>
      <w:bCs/>
    </w:rPr>
  </w:style>
  <w:style w:type="character" w:customStyle="1" w:styleId="CommentSubjectChar">
    <w:name w:val="Comment Subject Char"/>
    <w:basedOn w:val="CommentTextChar"/>
    <w:link w:val="CommentSubject"/>
    <w:uiPriority w:val="99"/>
    <w:semiHidden/>
    <w:rsid w:val="00284790"/>
    <w:rPr>
      <w:rFonts w:ascii="Calibri" w:eastAsia="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calpassplus.org/Launchboard/Adult-Education-Pipeline.aspx" TargetMode="External"/><Relationship Id="rId13" Type="http://schemas.openxmlformats.org/officeDocument/2006/relationships/hyperlink" Target="http://www.coeccc.net/COE/media/SupplyandDemandPageDocuments/Making-Use-of-Labor-Market-Information.pdf" TargetMode="External"/><Relationship Id="rId18" Type="http://schemas.openxmlformats.org/officeDocument/2006/relationships/hyperlink" Target="https://datamart.cccco.edu/Outcomes/Default.aspx" TargetMode="External"/><Relationship Id="rId26" Type="http://schemas.openxmlformats.org/officeDocument/2006/relationships/hyperlink" Target="https://www.calpassplus.org/LaunchBoard/Community-College-Pipeline.aspx" TargetMode="External"/><Relationship Id="rId39"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hyperlink" Target="https://cteos.santarosa.edu/faqs" TargetMode="External"/><Relationship Id="rId34" Type="http://schemas.openxmlformats.org/officeDocument/2006/relationships/hyperlink" Target="mailto:launchboard@cccco.edu" TargetMode="External"/><Relationship Id="rId42" Type="http://schemas.openxmlformats.org/officeDocument/2006/relationships/theme" Target="theme/theme1.xml"/><Relationship Id="rId7" Type="http://schemas.openxmlformats.org/officeDocument/2006/relationships/hyperlink" Target="https://www.calpassplus.org/LaunchBoard/Community-College-Pipeline.aspx" TargetMode="External"/><Relationship Id="rId12" Type="http://schemas.openxmlformats.org/officeDocument/2006/relationships/hyperlink" Target="http://www.coeccc.net/" TargetMode="External"/><Relationship Id="rId17" Type="http://schemas.openxmlformats.org/officeDocument/2006/relationships/hyperlink" Target="https://coci2.ccctechcenter.org/courses" TargetMode="External"/><Relationship Id="rId25" Type="http://schemas.openxmlformats.org/officeDocument/2006/relationships/hyperlink" Target="https://datamart.cccco.edu/Outcomes/Default.aspx" TargetMode="External"/><Relationship Id="rId33" Type="http://schemas.openxmlformats.org/officeDocument/2006/relationships/hyperlink" Target="https://nova.cccco.edu/" TargetMode="External"/><Relationship Id="rId38" Type="http://schemas.openxmlformats.org/officeDocument/2006/relationships/hyperlink" Target="https://www.calpassplus.org/Launchboard/GuidedPathways.aspx" TargetMode="External"/><Relationship Id="rId2" Type="http://schemas.openxmlformats.org/officeDocument/2006/relationships/settings" Target="settings.xml"/><Relationship Id="rId16" Type="http://schemas.openxmlformats.org/officeDocument/2006/relationships/hyperlink" Target="https://coci2.ccctechcenter.org/programs" TargetMode="External"/><Relationship Id="rId20" Type="http://schemas.openxmlformats.org/officeDocument/2006/relationships/hyperlink" Target="https://www.calpassplus.org/LaunchBoard/Community-College-Pipeline.aspx" TargetMode="External"/><Relationship Id="rId29" Type="http://schemas.openxmlformats.org/officeDocument/2006/relationships/hyperlink" Target="https://www.calpassplus.org/LaunchBoard/Community-College-Pipeline.aspx"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datamart.cccco.edu/Outcomes/Default.aspx" TargetMode="External"/><Relationship Id="rId11" Type="http://schemas.openxmlformats.org/officeDocument/2006/relationships/hyperlink" Target="http://www.coeccc.net/" TargetMode="External"/><Relationship Id="rId24" Type="http://schemas.openxmlformats.org/officeDocument/2006/relationships/hyperlink" Target="https://datamart.cccco.edu/Outcomes/College_Wage_Tracker.aspx" TargetMode="External"/><Relationship Id="rId32" Type="http://schemas.openxmlformats.org/officeDocument/2006/relationships/hyperlink" Target="https://www.calpassplus.org/LaunchBoard/Student-Success-Metrics.aspx" TargetMode="External"/><Relationship Id="rId37" Type="http://schemas.openxmlformats.org/officeDocument/2006/relationships/hyperlink" Target="https://www.calpassplus.org/Launchboard/SWP.aspx" TargetMode="External"/><Relationship Id="rId40"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s://coci2.ccctechcenter.org/" TargetMode="External"/><Relationship Id="rId23" Type="http://schemas.openxmlformats.org/officeDocument/2006/relationships/hyperlink" Target="http://www.coeccc.net/" TargetMode="External"/><Relationship Id="rId28" Type="http://schemas.openxmlformats.org/officeDocument/2006/relationships/hyperlink" Target="https://foundationccc.org/What-We-Do/Workforce-Development/Here-to-Career-Mobile-App" TargetMode="External"/><Relationship Id="rId36" Type="http://schemas.openxmlformats.org/officeDocument/2006/relationships/hyperlink" Target="https://www.calpassplus.org/Launchboard/Adult-Education-Pipeline.aspx" TargetMode="External"/><Relationship Id="rId10" Type="http://schemas.openxmlformats.org/officeDocument/2006/relationships/hyperlink" Target="http://coeccc.net/COE/media/SupplyandDemandPageDocuments/COE_Occupation-Demand_2019.xlsm" TargetMode="External"/><Relationship Id="rId19" Type="http://schemas.openxmlformats.org/officeDocument/2006/relationships/hyperlink" Target="https://www.calpassplus.org/LaunchBoard/Community-College-Pipeline.aspx" TargetMode="External"/><Relationship Id="rId31" Type="http://schemas.openxmlformats.org/officeDocument/2006/relationships/hyperlink" Target="https://www.calpassplus.org/Launchboard/Adult-Education-Pipeline.aspx" TargetMode="External"/><Relationship Id="rId4" Type="http://schemas.openxmlformats.org/officeDocument/2006/relationships/footnotes" Target="footnotes.xml"/><Relationship Id="rId9" Type="http://schemas.openxmlformats.org/officeDocument/2006/relationships/hyperlink" Target="http://coeccc.net/COE/media/SupplyandDemandPageDocuments/Supply-2016-19_March-2020.xlsm" TargetMode="External"/><Relationship Id="rId14" Type="http://schemas.openxmlformats.org/officeDocument/2006/relationships/hyperlink" Target="https://www.onetonline.org/" TargetMode="External"/><Relationship Id="rId22" Type="http://schemas.openxmlformats.org/officeDocument/2006/relationships/hyperlink" Target="http://www.coeccc.net/Supply-and-Demand.aspx" TargetMode="External"/><Relationship Id="rId27" Type="http://schemas.openxmlformats.org/officeDocument/2006/relationships/hyperlink" Target="https://salarysurfer.cccco.edu/SalarySurfer.aspx" TargetMode="External"/><Relationship Id="rId30" Type="http://schemas.openxmlformats.org/officeDocument/2006/relationships/hyperlink" Target="https://www.calpassplus.org/LaunchBoard/Community-College-Pipeline.aspx" TargetMode="External"/><Relationship Id="rId35" Type="http://schemas.openxmlformats.org/officeDocument/2006/relationships/hyperlink" Target="https://www.calpassplus.org/LaunchBoard/Student-Success-Metrics.asp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1745</Words>
  <Characters>9951</Characters>
  <Application>Microsoft Office Word</Application>
  <DocSecurity>0</DocSecurity>
  <Lines>82</Lines>
  <Paragraphs>23</Paragraphs>
  <ScaleCrop>false</ScaleCrop>
  <Company/>
  <LinksUpToDate>false</LinksUpToDate>
  <CharactersWithSpaces>11673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Which Data Tool Should I Use 7-29-19.docx</dc:title>
  <dc:creator>kbooth</dc:creator>
  <cp:lastModifiedBy>Karen Beltramo</cp:lastModifiedBy>
  <cp:revision>5</cp:revision>
  <dcterms:created xsi:type="dcterms:W3CDTF">2021-03-17T21:01:00Z</dcterms:created>
  <dcterms:modified xsi:type="dcterms:W3CDTF">2021-03-18T00:21:00Z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2019-07-29T00:00:00Z</vt:filetime>
  </property>
  <property fmtid="{D5CDD505-2E9C-101B-9397-08002B2CF9AE}" pid="3" name="Creator">
    <vt:lpwstr>PScript5.dll Version 5.2.2</vt:lpwstr>
  </property>
  <property fmtid="{D5CDD505-2E9C-101B-9397-08002B2CF9AE}" pid="4" name="LastSaved">
    <vt:filetime>2020-08-02T00:00:00Z</vt:filetime>
  </property>
</Properties>
</file>